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03B3" w14:textId="77777777" w:rsidR="00EA5A7C" w:rsidRPr="00DE4418" w:rsidRDefault="00EA5A7C" w:rsidP="00EA5A7C">
      <w:pPr>
        <w:jc w:val="center"/>
        <w:rPr>
          <w:sz w:val="32"/>
          <w:szCs w:val="32"/>
        </w:rPr>
      </w:pPr>
    </w:p>
    <w:p w14:paraId="776B9BBE" w14:textId="77777777" w:rsidR="00495AEF" w:rsidRDefault="00495AEF" w:rsidP="00495AEF">
      <w:pPr>
        <w:pStyle w:val="Title"/>
        <w:rPr>
          <w:rFonts w:ascii="Century Gothic" w:hAnsi="Century Gothic"/>
        </w:rPr>
      </w:pPr>
      <w:r>
        <w:rPr>
          <w:rFonts w:ascii="Century Gothic" w:hAnsi="Century Gothic"/>
        </w:rPr>
        <w:t>DSC Change Completion Report (CCR)</w:t>
      </w:r>
    </w:p>
    <w:p w14:paraId="7642D0D7" w14:textId="77777777" w:rsidR="00495AEF" w:rsidRDefault="00495AEF" w:rsidP="00495AEF"/>
    <w:tbl>
      <w:tblPr>
        <w:tblStyle w:val="TableGrid"/>
        <w:tblW w:w="0" w:type="auto"/>
        <w:tblLook w:val="04A0" w:firstRow="1" w:lastRow="0" w:firstColumn="1" w:lastColumn="0" w:noHBand="0" w:noVBand="1"/>
      </w:tblPr>
      <w:tblGrid>
        <w:gridCol w:w="4508"/>
        <w:gridCol w:w="4508"/>
      </w:tblGrid>
      <w:tr w:rsidR="00495AEF" w14:paraId="698E2FC7" w14:textId="77777777" w:rsidTr="004A66EA">
        <w:trPr>
          <w:trHeight w:val="403"/>
        </w:trPr>
        <w:tc>
          <w:tcPr>
            <w:tcW w:w="4508" w:type="dxa"/>
            <w:vAlign w:val="center"/>
          </w:tcPr>
          <w:p w14:paraId="7C52BC04" w14:textId="77777777" w:rsidR="00495AEF" w:rsidRPr="004E28ED" w:rsidRDefault="00495AEF" w:rsidP="004A66EA">
            <w:pPr>
              <w:pStyle w:val="Heading1"/>
              <w:spacing w:before="0" w:after="0"/>
              <w:rPr>
                <w:color w:val="212133" w:themeColor="text1"/>
                <w:sz w:val="24"/>
                <w:szCs w:val="24"/>
              </w:rPr>
            </w:pPr>
            <w:r w:rsidRPr="004E28ED">
              <w:rPr>
                <w:color w:val="212133" w:themeColor="text1"/>
                <w:sz w:val="24"/>
                <w:szCs w:val="24"/>
              </w:rPr>
              <w:t>Change Title:</w:t>
            </w:r>
          </w:p>
        </w:tc>
        <w:tc>
          <w:tcPr>
            <w:tcW w:w="4508" w:type="dxa"/>
          </w:tcPr>
          <w:p w14:paraId="0D03E5A9" w14:textId="7C22DA9C" w:rsidR="00495AEF" w:rsidRPr="00732093" w:rsidRDefault="00AC51AF" w:rsidP="004A66EA">
            <w:pPr>
              <w:pStyle w:val="Heading1"/>
              <w:spacing w:before="0" w:after="0"/>
              <w:rPr>
                <w:color w:val="auto"/>
                <w:sz w:val="24"/>
                <w:szCs w:val="24"/>
              </w:rPr>
            </w:pPr>
            <w:r w:rsidRPr="00732093">
              <w:rPr>
                <w:color w:val="212133" w:themeColor="text1"/>
                <w:sz w:val="24"/>
                <w:szCs w:val="24"/>
              </w:rPr>
              <w:t>Shipper Pack Transition to Data Discovery Platform</w:t>
            </w:r>
          </w:p>
        </w:tc>
      </w:tr>
      <w:tr w:rsidR="00495AEF" w14:paraId="1E35B50F" w14:textId="77777777" w:rsidTr="004A66EA">
        <w:trPr>
          <w:trHeight w:val="411"/>
        </w:trPr>
        <w:tc>
          <w:tcPr>
            <w:tcW w:w="4508" w:type="dxa"/>
            <w:vAlign w:val="center"/>
          </w:tcPr>
          <w:p w14:paraId="0ECBC5A7" w14:textId="77777777" w:rsidR="00495AEF" w:rsidRPr="004E28ED" w:rsidRDefault="00495AEF" w:rsidP="004A66EA">
            <w:pPr>
              <w:pStyle w:val="Heading1"/>
              <w:spacing w:before="0" w:after="0"/>
              <w:rPr>
                <w:color w:val="212133" w:themeColor="text1"/>
                <w:sz w:val="24"/>
                <w:szCs w:val="24"/>
              </w:rPr>
            </w:pPr>
            <w:r w:rsidRPr="004E28ED">
              <w:rPr>
                <w:color w:val="212133" w:themeColor="text1"/>
                <w:sz w:val="24"/>
                <w:szCs w:val="24"/>
              </w:rPr>
              <w:t>Xoserve Reference Number (XRN):</w:t>
            </w:r>
          </w:p>
        </w:tc>
        <w:tc>
          <w:tcPr>
            <w:tcW w:w="4508" w:type="dxa"/>
          </w:tcPr>
          <w:p w14:paraId="3A6A61C6" w14:textId="2979DA18" w:rsidR="00495AEF" w:rsidRPr="00732093" w:rsidRDefault="00AC51AF" w:rsidP="004A66EA">
            <w:pPr>
              <w:pStyle w:val="Heading1"/>
              <w:spacing w:before="0" w:after="0"/>
              <w:rPr>
                <w:color w:val="auto"/>
                <w:sz w:val="24"/>
                <w:szCs w:val="24"/>
              </w:rPr>
            </w:pPr>
            <w:r w:rsidRPr="00732093">
              <w:rPr>
                <w:color w:val="auto"/>
                <w:sz w:val="24"/>
                <w:szCs w:val="24"/>
              </w:rPr>
              <w:t>5200</w:t>
            </w:r>
          </w:p>
        </w:tc>
      </w:tr>
      <w:tr w:rsidR="00495AEF" w14:paraId="56359C57" w14:textId="77777777" w:rsidTr="004A66EA">
        <w:trPr>
          <w:trHeight w:val="416"/>
        </w:trPr>
        <w:tc>
          <w:tcPr>
            <w:tcW w:w="4508" w:type="dxa"/>
            <w:vAlign w:val="center"/>
          </w:tcPr>
          <w:p w14:paraId="0D6FC8E9" w14:textId="77777777" w:rsidR="00495AEF" w:rsidRPr="004E28ED" w:rsidRDefault="00495AEF" w:rsidP="004A66EA">
            <w:pPr>
              <w:pStyle w:val="Heading1"/>
              <w:spacing w:before="0" w:after="0"/>
              <w:rPr>
                <w:color w:val="212133" w:themeColor="text1"/>
                <w:sz w:val="24"/>
                <w:szCs w:val="24"/>
              </w:rPr>
            </w:pPr>
            <w:r w:rsidRPr="004E28ED">
              <w:rPr>
                <w:color w:val="212133" w:themeColor="text1"/>
                <w:sz w:val="24"/>
                <w:szCs w:val="24"/>
              </w:rPr>
              <w:t>Xoserve Project Manager:</w:t>
            </w:r>
          </w:p>
        </w:tc>
        <w:tc>
          <w:tcPr>
            <w:tcW w:w="4508" w:type="dxa"/>
          </w:tcPr>
          <w:p w14:paraId="147B3890" w14:textId="6BAA63F7" w:rsidR="00495AEF" w:rsidRPr="00732093" w:rsidRDefault="00AC51AF" w:rsidP="004A66EA">
            <w:pPr>
              <w:pStyle w:val="Heading1"/>
              <w:spacing w:before="0" w:after="0"/>
              <w:rPr>
                <w:color w:val="auto"/>
                <w:sz w:val="24"/>
                <w:szCs w:val="24"/>
              </w:rPr>
            </w:pPr>
            <w:r w:rsidRPr="00732093">
              <w:rPr>
                <w:color w:val="auto"/>
                <w:sz w:val="24"/>
                <w:szCs w:val="24"/>
              </w:rPr>
              <w:t>Ilaria Akintoye</w:t>
            </w:r>
          </w:p>
        </w:tc>
      </w:tr>
      <w:tr w:rsidR="00621CA2" w14:paraId="7DD6C137" w14:textId="77777777" w:rsidTr="004A66EA">
        <w:trPr>
          <w:trHeight w:val="422"/>
        </w:trPr>
        <w:tc>
          <w:tcPr>
            <w:tcW w:w="4508" w:type="dxa"/>
            <w:vAlign w:val="center"/>
          </w:tcPr>
          <w:p w14:paraId="61BBA000" w14:textId="77777777" w:rsidR="00621CA2" w:rsidRPr="004E28ED" w:rsidRDefault="00621CA2" w:rsidP="00621CA2">
            <w:pPr>
              <w:pStyle w:val="Heading1"/>
              <w:spacing w:before="0" w:after="0"/>
              <w:rPr>
                <w:color w:val="212133" w:themeColor="text1"/>
                <w:sz w:val="24"/>
                <w:szCs w:val="24"/>
              </w:rPr>
            </w:pPr>
            <w:r w:rsidRPr="004E28ED">
              <w:rPr>
                <w:color w:val="212133" w:themeColor="text1"/>
                <w:sz w:val="24"/>
                <w:szCs w:val="24"/>
              </w:rPr>
              <w:t>Email address:</w:t>
            </w:r>
          </w:p>
        </w:tc>
        <w:tc>
          <w:tcPr>
            <w:tcW w:w="4508" w:type="dxa"/>
          </w:tcPr>
          <w:p w14:paraId="75F61D80" w14:textId="68ABB426" w:rsidR="00621CA2" w:rsidRPr="00732093" w:rsidRDefault="00621CA2" w:rsidP="00621CA2">
            <w:pPr>
              <w:pStyle w:val="Heading1"/>
              <w:spacing w:before="0" w:after="0"/>
              <w:rPr>
                <w:color w:val="auto"/>
                <w:sz w:val="24"/>
                <w:szCs w:val="24"/>
              </w:rPr>
            </w:pPr>
            <w:hyperlink r:id="rId10" w:history="1">
              <w:r w:rsidRPr="00732093">
                <w:rPr>
                  <w:rStyle w:val="Hyperlink"/>
                  <w:rFonts w:eastAsia="Times New Roman" w:cs="Arial"/>
                  <w:color w:val="auto"/>
                  <w:sz w:val="24"/>
                  <w:szCs w:val="24"/>
                </w:rPr>
                <w:t>ilaria.akintoye@correla.com</w:t>
              </w:r>
            </w:hyperlink>
          </w:p>
        </w:tc>
      </w:tr>
      <w:tr w:rsidR="00621CA2" w14:paraId="63AAEF84" w14:textId="77777777" w:rsidTr="004A66EA">
        <w:trPr>
          <w:trHeight w:val="415"/>
        </w:trPr>
        <w:tc>
          <w:tcPr>
            <w:tcW w:w="4508" w:type="dxa"/>
            <w:vAlign w:val="center"/>
          </w:tcPr>
          <w:p w14:paraId="32BF55CA" w14:textId="77777777" w:rsidR="00621CA2" w:rsidRPr="004E28ED" w:rsidRDefault="00621CA2" w:rsidP="00621CA2">
            <w:pPr>
              <w:pStyle w:val="Heading1"/>
              <w:spacing w:before="0" w:after="0"/>
              <w:rPr>
                <w:color w:val="212133" w:themeColor="text1"/>
                <w:sz w:val="24"/>
                <w:szCs w:val="24"/>
              </w:rPr>
            </w:pPr>
            <w:r w:rsidRPr="004E28ED">
              <w:rPr>
                <w:color w:val="212133" w:themeColor="text1"/>
                <w:sz w:val="24"/>
                <w:szCs w:val="24"/>
              </w:rPr>
              <w:t>Contact number:</w:t>
            </w:r>
          </w:p>
        </w:tc>
        <w:tc>
          <w:tcPr>
            <w:tcW w:w="4508" w:type="dxa"/>
          </w:tcPr>
          <w:p w14:paraId="714AF521" w14:textId="00B18D6E" w:rsidR="00621CA2" w:rsidRPr="00732093" w:rsidRDefault="00416916" w:rsidP="00621CA2">
            <w:pPr>
              <w:pStyle w:val="Heading1"/>
              <w:spacing w:before="0" w:after="0"/>
              <w:rPr>
                <w:color w:val="auto"/>
                <w:sz w:val="24"/>
                <w:szCs w:val="24"/>
              </w:rPr>
            </w:pPr>
            <w:r w:rsidRPr="00732093">
              <w:rPr>
                <w:color w:val="auto"/>
                <w:sz w:val="24"/>
                <w:szCs w:val="24"/>
              </w:rPr>
              <w:t>N/A</w:t>
            </w:r>
          </w:p>
        </w:tc>
      </w:tr>
      <w:tr w:rsidR="00621CA2" w14:paraId="4ED6BD67" w14:textId="77777777" w:rsidTr="004A66EA">
        <w:tc>
          <w:tcPr>
            <w:tcW w:w="4508" w:type="dxa"/>
            <w:vAlign w:val="center"/>
          </w:tcPr>
          <w:p w14:paraId="2FB396F6" w14:textId="77777777" w:rsidR="00621CA2" w:rsidRPr="004E28ED" w:rsidRDefault="00621CA2" w:rsidP="00621CA2">
            <w:pPr>
              <w:pStyle w:val="Heading1"/>
              <w:spacing w:before="0" w:after="0"/>
              <w:rPr>
                <w:color w:val="212133" w:themeColor="text1"/>
                <w:sz w:val="24"/>
                <w:szCs w:val="24"/>
              </w:rPr>
            </w:pPr>
            <w:r w:rsidRPr="004E28ED">
              <w:rPr>
                <w:color w:val="212133" w:themeColor="text1"/>
                <w:sz w:val="24"/>
                <w:szCs w:val="24"/>
              </w:rPr>
              <w:t>Target Change Management Committee date:</w:t>
            </w:r>
          </w:p>
        </w:tc>
        <w:tc>
          <w:tcPr>
            <w:tcW w:w="4508" w:type="dxa"/>
          </w:tcPr>
          <w:p w14:paraId="17B32673" w14:textId="63E42747" w:rsidR="00621CA2" w:rsidRPr="00732093" w:rsidRDefault="005F10A6" w:rsidP="00621CA2">
            <w:pPr>
              <w:pStyle w:val="Heading1"/>
              <w:spacing w:before="0" w:after="0"/>
              <w:rPr>
                <w:color w:val="auto"/>
                <w:sz w:val="24"/>
                <w:szCs w:val="24"/>
              </w:rPr>
            </w:pPr>
            <w:r w:rsidRPr="00732093">
              <w:rPr>
                <w:color w:val="auto"/>
                <w:sz w:val="24"/>
                <w:szCs w:val="24"/>
              </w:rPr>
              <w:t>11</w:t>
            </w:r>
            <w:r w:rsidRPr="00732093">
              <w:rPr>
                <w:color w:val="auto"/>
                <w:sz w:val="24"/>
                <w:szCs w:val="24"/>
                <w:vertAlign w:val="superscript"/>
              </w:rPr>
              <w:t>th</w:t>
            </w:r>
            <w:r w:rsidRPr="00732093">
              <w:rPr>
                <w:color w:val="auto"/>
                <w:sz w:val="24"/>
                <w:szCs w:val="24"/>
              </w:rPr>
              <w:t xml:space="preserve"> September 2025</w:t>
            </w:r>
          </w:p>
        </w:tc>
      </w:tr>
      <w:tr w:rsidR="00621CA2" w14:paraId="230B60A8" w14:textId="77777777" w:rsidTr="004A66EA">
        <w:tc>
          <w:tcPr>
            <w:tcW w:w="4508" w:type="dxa"/>
            <w:vAlign w:val="center"/>
          </w:tcPr>
          <w:p w14:paraId="1A5AF682" w14:textId="11D150A2" w:rsidR="00621CA2" w:rsidRPr="004E28ED" w:rsidRDefault="00621CA2" w:rsidP="00621CA2">
            <w:pPr>
              <w:pStyle w:val="Heading1"/>
              <w:spacing w:before="0" w:after="0"/>
              <w:rPr>
                <w:color w:val="212133" w:themeColor="text1"/>
                <w:sz w:val="24"/>
                <w:szCs w:val="24"/>
              </w:rPr>
            </w:pPr>
            <w:r>
              <w:rPr>
                <w:color w:val="212133" w:themeColor="text1"/>
                <w:sz w:val="24"/>
                <w:szCs w:val="24"/>
              </w:rPr>
              <w:t>Date of Solution Implementation:</w:t>
            </w:r>
          </w:p>
        </w:tc>
        <w:tc>
          <w:tcPr>
            <w:tcW w:w="4508" w:type="dxa"/>
          </w:tcPr>
          <w:p w14:paraId="2EAFA2F5" w14:textId="7C185951" w:rsidR="00621CA2" w:rsidRPr="00732093" w:rsidRDefault="00B27804" w:rsidP="00621CA2">
            <w:pPr>
              <w:pStyle w:val="Heading1"/>
              <w:spacing w:before="0" w:after="0"/>
              <w:rPr>
                <w:color w:val="auto"/>
                <w:sz w:val="24"/>
                <w:szCs w:val="24"/>
              </w:rPr>
            </w:pPr>
            <w:r w:rsidRPr="00732093">
              <w:rPr>
                <w:color w:val="auto"/>
                <w:sz w:val="24"/>
                <w:szCs w:val="24"/>
              </w:rPr>
              <w:t>12</w:t>
            </w:r>
            <w:r w:rsidRPr="00732093">
              <w:rPr>
                <w:color w:val="auto"/>
                <w:sz w:val="24"/>
                <w:szCs w:val="24"/>
                <w:vertAlign w:val="superscript"/>
              </w:rPr>
              <w:t>th</w:t>
            </w:r>
            <w:r w:rsidRPr="00732093">
              <w:rPr>
                <w:color w:val="auto"/>
                <w:sz w:val="24"/>
                <w:szCs w:val="24"/>
              </w:rPr>
              <w:t xml:space="preserve"> August 2025</w:t>
            </w:r>
          </w:p>
        </w:tc>
      </w:tr>
    </w:tbl>
    <w:p w14:paraId="1F2CF807" w14:textId="77777777" w:rsidR="00495AEF" w:rsidRDefault="00495AEF" w:rsidP="00495AEF"/>
    <w:p w14:paraId="6B4AAA9B" w14:textId="77777777" w:rsidR="001F028B" w:rsidRDefault="00495AEF" w:rsidP="001F028B">
      <w:pPr>
        <w:pStyle w:val="Heading1"/>
      </w:pPr>
      <w:r>
        <w:t xml:space="preserve">Section 1: </w:t>
      </w:r>
      <w:r w:rsidRPr="00DA6E5F">
        <w:t>Overview of Change Delivery</w:t>
      </w:r>
    </w:p>
    <w:p w14:paraId="648505A8" w14:textId="0FBD469D" w:rsidR="001F028B" w:rsidRPr="001F028B" w:rsidRDefault="001F028B" w:rsidP="001F028B">
      <w:pPr>
        <w:pStyle w:val="Heading1"/>
      </w:pPr>
      <w:r w:rsidRPr="00F72D57">
        <w:rPr>
          <w:color w:val="212133" w:themeColor="text1"/>
          <w:sz w:val="24"/>
          <w:szCs w:val="24"/>
        </w:rPr>
        <w:t>The objective of this change was to decommission the legacy 'Shipper Packs'—a suite of Management Information (MI) reports historically produced by Xoserve. These reports covered a range of topics from operational and settlement summaries to MPRN-level data. With the evolution of reporting capabilities, the same content is now accessible to Shippers via the Data Discovery Platform (DDP).</w:t>
      </w:r>
    </w:p>
    <w:p w14:paraId="5E36F697" w14:textId="77777777" w:rsidR="001F028B" w:rsidRPr="00F72D57" w:rsidRDefault="001F028B" w:rsidP="001F028B">
      <w:pPr>
        <w:spacing w:before="100" w:beforeAutospacing="1" w:after="100" w:afterAutospacing="1"/>
        <w:contextualSpacing/>
        <w:rPr>
          <w:rFonts w:eastAsiaTheme="majorEastAsia" w:cstheme="majorBidi"/>
          <w:color w:val="212133" w:themeColor="text1"/>
        </w:rPr>
      </w:pPr>
    </w:p>
    <w:p w14:paraId="7D9EE2A8" w14:textId="77777777" w:rsidR="001F028B" w:rsidRPr="001F028B" w:rsidRDefault="001F028B" w:rsidP="001F028B">
      <w:pPr>
        <w:spacing w:before="100" w:beforeAutospacing="1" w:after="100" w:afterAutospacing="1"/>
        <w:contextualSpacing/>
        <w:rPr>
          <w:rFonts w:eastAsiaTheme="majorEastAsia" w:cstheme="majorBidi"/>
          <w:color w:val="212133" w:themeColor="text1"/>
        </w:rPr>
      </w:pPr>
      <w:r w:rsidRPr="00F72D57">
        <w:rPr>
          <w:rFonts w:eastAsiaTheme="majorEastAsia" w:cstheme="majorBidi"/>
          <w:color w:val="212133" w:themeColor="text1"/>
        </w:rPr>
        <w:t>This change aimed to eliminate duplication of reporting outputs across both platforms, which had led to inefficiencies and the risk of ‘regret spend’ when Shippers requested enhancements to either reporting stream. By consolidating reporting through the DDP, the change supports a more streamlined, cost-effective, and future-proof approach to data access.</w:t>
      </w:r>
    </w:p>
    <w:p w14:paraId="536A4522" w14:textId="77777777" w:rsidR="001F028B" w:rsidRPr="00F72D57" w:rsidRDefault="001F028B" w:rsidP="001F028B">
      <w:pPr>
        <w:spacing w:before="100" w:beforeAutospacing="1" w:after="100" w:afterAutospacing="1"/>
        <w:contextualSpacing/>
        <w:rPr>
          <w:rFonts w:eastAsiaTheme="majorEastAsia" w:cstheme="majorBidi"/>
          <w:color w:val="212133" w:themeColor="text1"/>
        </w:rPr>
      </w:pPr>
    </w:p>
    <w:p w14:paraId="2EEB1E2B" w14:textId="77777777" w:rsidR="001F028B" w:rsidRPr="001F028B" w:rsidRDefault="001F028B" w:rsidP="001F028B">
      <w:pPr>
        <w:spacing w:before="100" w:beforeAutospacing="1" w:after="100" w:afterAutospacing="1"/>
        <w:contextualSpacing/>
        <w:rPr>
          <w:rFonts w:eastAsiaTheme="majorEastAsia" w:cstheme="majorBidi"/>
          <w:color w:val="212133" w:themeColor="text1"/>
        </w:rPr>
      </w:pPr>
      <w:r w:rsidRPr="00F72D57">
        <w:rPr>
          <w:rFonts w:eastAsiaTheme="majorEastAsia" w:cstheme="majorBidi"/>
          <w:color w:val="212133" w:themeColor="text1"/>
        </w:rPr>
        <w:t>The decommissioning timeline was communicated to stakeholders at the Change Management Committee (ChMC) on 09/07/2025, with sufficient notice provided to Shippers ahead of implementation. In line with the agreed schedule, no Shipper Pack was issued in August 2025, marking the successful completion of the decommissioning process.</w:t>
      </w:r>
    </w:p>
    <w:p w14:paraId="0CF111EB" w14:textId="77777777" w:rsidR="001F028B" w:rsidRPr="00F72D57" w:rsidRDefault="001F028B" w:rsidP="001F028B">
      <w:pPr>
        <w:spacing w:before="100" w:beforeAutospacing="1" w:after="100" w:afterAutospacing="1"/>
        <w:contextualSpacing/>
        <w:rPr>
          <w:rFonts w:eastAsiaTheme="majorEastAsia" w:cstheme="majorBidi"/>
          <w:color w:val="212133" w:themeColor="text1"/>
        </w:rPr>
      </w:pPr>
    </w:p>
    <w:p w14:paraId="174923FD" w14:textId="77777777" w:rsidR="001F028B" w:rsidRPr="001F028B" w:rsidRDefault="001F028B" w:rsidP="001F028B">
      <w:pPr>
        <w:spacing w:before="100" w:beforeAutospacing="1" w:after="100" w:afterAutospacing="1"/>
        <w:contextualSpacing/>
        <w:rPr>
          <w:rFonts w:eastAsiaTheme="majorEastAsia" w:cstheme="majorBidi"/>
          <w:color w:val="212133" w:themeColor="text1"/>
        </w:rPr>
      </w:pPr>
      <w:r w:rsidRPr="00F72D57">
        <w:rPr>
          <w:rFonts w:eastAsiaTheme="majorEastAsia" w:cstheme="majorBidi"/>
          <w:color w:val="212133" w:themeColor="text1"/>
        </w:rPr>
        <w:t>The Shipper Packs have now been officially retired, and all relevant reporting is available exclusively via the DDP.</w:t>
      </w:r>
    </w:p>
    <w:p w14:paraId="7A63DF93" w14:textId="77777777" w:rsidR="001F028B" w:rsidRPr="001F028B" w:rsidRDefault="001F028B" w:rsidP="001F028B"/>
    <w:tbl>
      <w:tblPr>
        <w:tblStyle w:val="ListTable3"/>
        <w:tblW w:w="9067" w:type="dxa"/>
        <w:tblLook w:val="04A0" w:firstRow="1" w:lastRow="0" w:firstColumn="1" w:lastColumn="0" w:noHBand="0" w:noVBand="1"/>
      </w:tblPr>
      <w:tblGrid>
        <w:gridCol w:w="2263"/>
        <w:gridCol w:w="2268"/>
        <w:gridCol w:w="2127"/>
        <w:gridCol w:w="2409"/>
      </w:tblGrid>
      <w:tr w:rsidR="00495AEF" w:rsidRPr="004E28ED" w14:paraId="35941C96" w14:textId="77777777" w:rsidTr="5C8C0C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right w:val="single" w:sz="4" w:space="0" w:color="F5F7FF" w:themeColor="background2"/>
            </w:tcBorders>
          </w:tcPr>
          <w:p w14:paraId="33655647" w14:textId="77777777" w:rsidR="00495AEF" w:rsidRPr="00E959A1" w:rsidRDefault="00495AEF" w:rsidP="004A66EA">
            <w:pPr>
              <w:rPr>
                <w:b w:val="0"/>
                <w:bCs w:val="0"/>
                <w:color w:val="F5F7FF" w:themeColor="background1"/>
              </w:rPr>
            </w:pPr>
            <w:r w:rsidRPr="00DC381B">
              <w:rPr>
                <w:b w:val="0"/>
                <w:bCs w:val="0"/>
                <w:color w:val="F5F7FF" w:themeColor="background1"/>
              </w:rPr>
              <w:lastRenderedPageBreak/>
              <w:t>Xoserve Service Area</w:t>
            </w:r>
          </w:p>
        </w:tc>
        <w:tc>
          <w:tcPr>
            <w:tcW w:w="2268" w:type="dxa"/>
            <w:tcBorders>
              <w:left w:val="single" w:sz="4" w:space="0" w:color="F5F7FF" w:themeColor="background2"/>
              <w:right w:val="single" w:sz="4" w:space="0" w:color="F5F7FF" w:themeColor="background2"/>
            </w:tcBorders>
          </w:tcPr>
          <w:p w14:paraId="51ABA680" w14:textId="77777777" w:rsidR="00495AEF" w:rsidRPr="00E959A1" w:rsidRDefault="00495AEF" w:rsidP="004A66EA">
            <w:pPr>
              <w:cnfStyle w:val="100000000000" w:firstRow="1" w:lastRow="0" w:firstColumn="0" w:lastColumn="0" w:oddVBand="0" w:evenVBand="0" w:oddHBand="0" w:evenHBand="0" w:firstRowFirstColumn="0" w:firstRowLastColumn="0" w:lastRowFirstColumn="0" w:lastRowLastColumn="0"/>
              <w:rPr>
                <w:b w:val="0"/>
                <w:bCs w:val="0"/>
                <w:color w:val="F5F7FF" w:themeColor="background1"/>
              </w:rPr>
            </w:pPr>
            <w:r w:rsidRPr="00DC381B">
              <w:rPr>
                <w:b w:val="0"/>
                <w:bCs w:val="0"/>
                <w:color w:val="F5F7FF" w:themeColor="background1"/>
              </w:rPr>
              <w:t>Xoserve Service Line</w:t>
            </w:r>
          </w:p>
        </w:tc>
        <w:tc>
          <w:tcPr>
            <w:tcW w:w="2127" w:type="dxa"/>
            <w:tcBorders>
              <w:left w:val="single" w:sz="4" w:space="0" w:color="F5F7FF" w:themeColor="background2"/>
              <w:right w:val="single" w:sz="4" w:space="0" w:color="F5F7FF" w:themeColor="background2"/>
            </w:tcBorders>
          </w:tcPr>
          <w:p w14:paraId="411F6BFE" w14:textId="77777777" w:rsidR="00495AEF" w:rsidRPr="00E959A1" w:rsidRDefault="00495AEF" w:rsidP="004A66EA">
            <w:pPr>
              <w:cnfStyle w:val="100000000000" w:firstRow="1" w:lastRow="0" w:firstColumn="0" w:lastColumn="0" w:oddVBand="0" w:evenVBand="0" w:oddHBand="0" w:evenHBand="0" w:firstRowFirstColumn="0" w:firstRowLastColumn="0" w:lastRowFirstColumn="0" w:lastRowLastColumn="0"/>
              <w:rPr>
                <w:b w:val="0"/>
                <w:bCs w:val="0"/>
                <w:color w:val="F5F7FF" w:themeColor="background1"/>
              </w:rPr>
            </w:pPr>
            <w:r w:rsidRPr="00DC381B">
              <w:rPr>
                <w:b w:val="0"/>
                <w:bCs w:val="0"/>
                <w:color w:val="F5F7FF" w:themeColor="background1"/>
              </w:rPr>
              <w:t>(+/-) Projected Change in Annual Cost</w:t>
            </w:r>
          </w:p>
        </w:tc>
        <w:tc>
          <w:tcPr>
            <w:tcW w:w="2409" w:type="dxa"/>
            <w:tcBorders>
              <w:left w:val="single" w:sz="4" w:space="0" w:color="F5F7FF" w:themeColor="background2"/>
              <w:right w:val="single" w:sz="4" w:space="0" w:color="F5F7FF" w:themeColor="background2"/>
            </w:tcBorders>
          </w:tcPr>
          <w:p w14:paraId="6D7ED3E6" w14:textId="77777777" w:rsidR="00495AEF" w:rsidRPr="00E959A1" w:rsidRDefault="00495AEF" w:rsidP="004A66EA">
            <w:pPr>
              <w:cnfStyle w:val="100000000000" w:firstRow="1" w:lastRow="0" w:firstColumn="0" w:lastColumn="0" w:oddVBand="0" w:evenVBand="0" w:oddHBand="0" w:evenHBand="0" w:firstRowFirstColumn="0" w:firstRowLastColumn="0" w:lastRowFirstColumn="0" w:lastRowLastColumn="0"/>
              <w:rPr>
                <w:b w:val="0"/>
                <w:bCs w:val="0"/>
                <w:color w:val="F5F7FF" w:themeColor="background1"/>
              </w:rPr>
            </w:pPr>
            <w:r w:rsidRPr="00DC381B">
              <w:rPr>
                <w:b w:val="0"/>
                <w:bCs w:val="0"/>
                <w:color w:val="F5F7FF" w:themeColor="background1"/>
              </w:rPr>
              <w:t>(+/</w:t>
            </w:r>
            <w:proofErr w:type="gramStart"/>
            <w:r w:rsidRPr="00DC381B">
              <w:rPr>
                <w:b w:val="0"/>
                <w:bCs w:val="0"/>
                <w:color w:val="F5F7FF" w:themeColor="background1"/>
              </w:rPr>
              <w:t>-)Actual</w:t>
            </w:r>
            <w:proofErr w:type="gramEnd"/>
            <w:r w:rsidRPr="00DC381B">
              <w:rPr>
                <w:b w:val="0"/>
                <w:bCs w:val="0"/>
                <w:color w:val="F5F7FF" w:themeColor="background1"/>
              </w:rPr>
              <w:t xml:space="preserve"> Change in Annual Cost</w:t>
            </w:r>
          </w:p>
        </w:tc>
      </w:tr>
      <w:tr w:rsidR="00495AEF" w14:paraId="419B0C8F" w14:textId="77777777" w:rsidTr="5C8C0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212133" w:themeColor="text2"/>
            </w:tcBorders>
          </w:tcPr>
          <w:p w14:paraId="0E196E0D" w14:textId="0DC7E5A7" w:rsidR="00495AEF" w:rsidRPr="00DC381B" w:rsidRDefault="45705B47" w:rsidP="5C8C0C1D">
            <w:pPr>
              <w:rPr>
                <w:rFonts w:eastAsia="Century Gothic" w:cs="Century Gothic"/>
                <w:b w:val="0"/>
                <w:bCs w:val="0"/>
              </w:rPr>
            </w:pPr>
            <w:r w:rsidRPr="5C8C0C1D">
              <w:rPr>
                <w:rFonts w:eastAsia="Century Gothic" w:cs="Century Gothic"/>
                <w:b w:val="0"/>
                <w:bCs w:val="0"/>
              </w:rPr>
              <w:t>Service Area 18: Provision of user reports and information</w:t>
            </w:r>
          </w:p>
        </w:tc>
        <w:tc>
          <w:tcPr>
            <w:tcW w:w="2268" w:type="dxa"/>
            <w:tcBorders>
              <w:left w:val="single" w:sz="4" w:space="0" w:color="212133" w:themeColor="text2"/>
              <w:right w:val="single" w:sz="4" w:space="0" w:color="212133" w:themeColor="text2"/>
            </w:tcBorders>
          </w:tcPr>
          <w:p w14:paraId="009FAE1C" w14:textId="05680576" w:rsidR="00495AEF" w:rsidRDefault="00495AEF" w:rsidP="004A66EA">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212133" w:themeColor="text2"/>
              <w:right w:val="single" w:sz="4" w:space="0" w:color="212133" w:themeColor="text2"/>
            </w:tcBorders>
          </w:tcPr>
          <w:p w14:paraId="08E7234B" w14:textId="2B3FCC20" w:rsidR="00495AEF" w:rsidRDefault="193EF79A" w:rsidP="004A66EA">
            <w:pPr>
              <w:cnfStyle w:val="000000100000" w:firstRow="0" w:lastRow="0" w:firstColumn="0" w:lastColumn="0" w:oddVBand="0" w:evenVBand="0" w:oddHBand="1" w:evenHBand="0" w:firstRowFirstColumn="0" w:firstRowLastColumn="0" w:lastRowFirstColumn="0" w:lastRowLastColumn="0"/>
            </w:pPr>
            <w:r>
              <w:t>N/A</w:t>
            </w:r>
          </w:p>
        </w:tc>
        <w:tc>
          <w:tcPr>
            <w:tcW w:w="2409" w:type="dxa"/>
            <w:tcBorders>
              <w:left w:val="single" w:sz="4" w:space="0" w:color="212133" w:themeColor="text2"/>
              <w:right w:val="single" w:sz="4" w:space="0" w:color="212133" w:themeColor="text2"/>
            </w:tcBorders>
          </w:tcPr>
          <w:p w14:paraId="2641B3CA" w14:textId="4F130317" w:rsidR="00495AEF" w:rsidRDefault="193EF79A" w:rsidP="004A66EA">
            <w:pPr>
              <w:cnfStyle w:val="000000100000" w:firstRow="0" w:lastRow="0" w:firstColumn="0" w:lastColumn="0" w:oddVBand="0" w:evenVBand="0" w:oddHBand="1" w:evenHBand="0" w:firstRowFirstColumn="0" w:firstRowLastColumn="0" w:lastRowFirstColumn="0" w:lastRowLastColumn="0"/>
            </w:pPr>
            <w:r>
              <w:t>N/A</w:t>
            </w:r>
          </w:p>
        </w:tc>
      </w:tr>
      <w:tr w:rsidR="00495AEF" w14:paraId="3BE73BDF" w14:textId="77777777" w:rsidTr="5C8C0C1D">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212133" w:themeColor="text2"/>
            </w:tcBorders>
          </w:tcPr>
          <w:p w14:paraId="743DA6AC" w14:textId="77777777" w:rsidR="00495AEF" w:rsidRPr="00DC381B" w:rsidRDefault="00495AEF" w:rsidP="004A66EA">
            <w:pPr>
              <w:rPr>
                <w:b w:val="0"/>
                <w:bCs w:val="0"/>
              </w:rPr>
            </w:pPr>
          </w:p>
        </w:tc>
        <w:tc>
          <w:tcPr>
            <w:tcW w:w="2268" w:type="dxa"/>
            <w:tcBorders>
              <w:left w:val="single" w:sz="4" w:space="0" w:color="212133" w:themeColor="text2"/>
              <w:right w:val="single" w:sz="4" w:space="0" w:color="212133" w:themeColor="text2"/>
            </w:tcBorders>
          </w:tcPr>
          <w:p w14:paraId="7C2FF909" w14:textId="77777777" w:rsidR="00495AEF" w:rsidRDefault="00495AEF" w:rsidP="004A66EA">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212133" w:themeColor="text2"/>
              <w:right w:val="single" w:sz="4" w:space="0" w:color="212133" w:themeColor="text2"/>
            </w:tcBorders>
          </w:tcPr>
          <w:p w14:paraId="5771C57B" w14:textId="77777777" w:rsidR="00495AEF" w:rsidRDefault="00495AEF" w:rsidP="004A66EA">
            <w:pPr>
              <w:cnfStyle w:val="000000000000" w:firstRow="0" w:lastRow="0" w:firstColumn="0" w:lastColumn="0" w:oddVBand="0" w:evenVBand="0" w:oddHBand="0" w:evenHBand="0" w:firstRowFirstColumn="0" w:firstRowLastColumn="0" w:lastRowFirstColumn="0" w:lastRowLastColumn="0"/>
            </w:pPr>
          </w:p>
        </w:tc>
        <w:tc>
          <w:tcPr>
            <w:tcW w:w="2409" w:type="dxa"/>
            <w:tcBorders>
              <w:left w:val="single" w:sz="4" w:space="0" w:color="212133" w:themeColor="text2"/>
              <w:right w:val="single" w:sz="4" w:space="0" w:color="212133" w:themeColor="text2"/>
            </w:tcBorders>
          </w:tcPr>
          <w:p w14:paraId="42B1D939" w14:textId="77777777" w:rsidR="00495AEF" w:rsidRDefault="00495AEF" w:rsidP="004A66EA">
            <w:pPr>
              <w:cnfStyle w:val="000000000000" w:firstRow="0" w:lastRow="0" w:firstColumn="0" w:lastColumn="0" w:oddVBand="0" w:evenVBand="0" w:oddHBand="0" w:evenHBand="0" w:firstRowFirstColumn="0" w:firstRowLastColumn="0" w:lastRowFirstColumn="0" w:lastRowLastColumn="0"/>
            </w:pPr>
          </w:p>
        </w:tc>
      </w:tr>
      <w:tr w:rsidR="00495AEF" w14:paraId="0E3925B8" w14:textId="77777777" w:rsidTr="5C8C0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212133" w:themeColor="text2"/>
            </w:tcBorders>
          </w:tcPr>
          <w:p w14:paraId="30F09D86" w14:textId="77777777" w:rsidR="00495AEF" w:rsidRPr="00DC381B" w:rsidRDefault="00495AEF" w:rsidP="004A66EA">
            <w:pPr>
              <w:rPr>
                <w:b w:val="0"/>
                <w:bCs w:val="0"/>
              </w:rPr>
            </w:pPr>
          </w:p>
        </w:tc>
        <w:tc>
          <w:tcPr>
            <w:tcW w:w="2268" w:type="dxa"/>
            <w:tcBorders>
              <w:left w:val="single" w:sz="4" w:space="0" w:color="212133" w:themeColor="text2"/>
              <w:right w:val="single" w:sz="4" w:space="0" w:color="212133" w:themeColor="text2"/>
            </w:tcBorders>
          </w:tcPr>
          <w:p w14:paraId="19D7EA69" w14:textId="77777777" w:rsidR="00495AEF" w:rsidRDefault="00495AEF" w:rsidP="004A66EA">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212133" w:themeColor="text2"/>
              <w:right w:val="single" w:sz="4" w:space="0" w:color="212133" w:themeColor="text2"/>
            </w:tcBorders>
          </w:tcPr>
          <w:p w14:paraId="0B4871A0" w14:textId="77777777" w:rsidR="00495AEF" w:rsidRDefault="00495AEF" w:rsidP="004A66EA">
            <w:pPr>
              <w:cnfStyle w:val="000000100000" w:firstRow="0" w:lastRow="0" w:firstColumn="0" w:lastColumn="0" w:oddVBand="0" w:evenVBand="0" w:oddHBand="1" w:evenHBand="0" w:firstRowFirstColumn="0" w:firstRowLastColumn="0" w:lastRowFirstColumn="0" w:lastRowLastColumn="0"/>
            </w:pPr>
          </w:p>
        </w:tc>
        <w:tc>
          <w:tcPr>
            <w:tcW w:w="2409" w:type="dxa"/>
            <w:tcBorders>
              <w:left w:val="single" w:sz="4" w:space="0" w:color="212133" w:themeColor="text2"/>
              <w:right w:val="single" w:sz="4" w:space="0" w:color="212133" w:themeColor="text2"/>
            </w:tcBorders>
          </w:tcPr>
          <w:p w14:paraId="753BB26E" w14:textId="77777777" w:rsidR="00495AEF" w:rsidRDefault="00495AEF" w:rsidP="004A66EA">
            <w:pPr>
              <w:cnfStyle w:val="000000100000" w:firstRow="0" w:lastRow="0" w:firstColumn="0" w:lastColumn="0" w:oddVBand="0" w:evenVBand="0" w:oddHBand="1" w:evenHBand="0" w:firstRowFirstColumn="0" w:firstRowLastColumn="0" w:lastRowFirstColumn="0" w:lastRowLastColumn="0"/>
            </w:pPr>
          </w:p>
        </w:tc>
      </w:tr>
    </w:tbl>
    <w:p w14:paraId="4168ABC8" w14:textId="77777777" w:rsidR="00495AEF" w:rsidRDefault="00495AEF" w:rsidP="00495AEF"/>
    <w:p w14:paraId="6792EA60" w14:textId="77777777" w:rsidR="00495AEF" w:rsidRPr="00EA5A7C" w:rsidRDefault="00495AEF" w:rsidP="00495AEF">
      <w:pPr>
        <w:pStyle w:val="Heading1"/>
      </w:pPr>
      <w:r>
        <w:t xml:space="preserve">Section 2: </w:t>
      </w:r>
      <w:r w:rsidRPr="003E433D">
        <w:t>Confirmed Funding Arrangements</w:t>
      </w:r>
    </w:p>
    <w:tbl>
      <w:tblPr>
        <w:tblStyle w:val="ListTable3"/>
        <w:tblW w:w="9089" w:type="dxa"/>
        <w:tblLook w:val="04A0" w:firstRow="1" w:lastRow="0" w:firstColumn="1" w:lastColumn="0" w:noHBand="0" w:noVBand="1"/>
      </w:tblPr>
      <w:tblGrid>
        <w:gridCol w:w="1788"/>
        <w:gridCol w:w="2292"/>
        <w:gridCol w:w="1473"/>
        <w:gridCol w:w="2016"/>
        <w:gridCol w:w="1520"/>
      </w:tblGrid>
      <w:tr w:rsidR="00495AEF" w:rsidRPr="004E28ED" w14:paraId="2BAB7EFA" w14:textId="77777777" w:rsidTr="004A66EA">
        <w:trPr>
          <w:cnfStyle w:val="100000000000" w:firstRow="1" w:lastRow="0" w:firstColumn="0" w:lastColumn="0" w:oddVBand="0" w:evenVBand="0" w:oddHBand="0" w:evenHBand="0" w:firstRowFirstColumn="0" w:firstRowLastColumn="0" w:lastRowFirstColumn="0" w:lastRowLastColumn="0"/>
          <w:trHeight w:val="982"/>
        </w:trPr>
        <w:tc>
          <w:tcPr>
            <w:cnfStyle w:val="001000000100" w:firstRow="0" w:lastRow="0" w:firstColumn="1" w:lastColumn="0" w:oddVBand="0" w:evenVBand="0" w:oddHBand="0" w:evenHBand="0" w:firstRowFirstColumn="1" w:firstRowLastColumn="0" w:lastRowFirstColumn="0" w:lastRowLastColumn="0"/>
            <w:tcW w:w="1788" w:type="dxa"/>
            <w:tcBorders>
              <w:right w:val="single" w:sz="4" w:space="0" w:color="F5F7FF" w:themeColor="background1"/>
            </w:tcBorders>
          </w:tcPr>
          <w:p w14:paraId="0A365319" w14:textId="77777777" w:rsidR="00495AEF" w:rsidRPr="00E959A1" w:rsidRDefault="00495AEF" w:rsidP="004A66EA">
            <w:pPr>
              <w:rPr>
                <w:b w:val="0"/>
                <w:bCs w:val="0"/>
                <w:color w:val="F5F7FF" w:themeColor="background1"/>
              </w:rPr>
            </w:pPr>
            <w:r w:rsidRPr="00E53F37">
              <w:rPr>
                <w:b w:val="0"/>
                <w:bCs w:val="0"/>
                <w:color w:val="F5F7FF" w:themeColor="background1"/>
              </w:rPr>
              <w:t>Gas industry Participant</w:t>
            </w:r>
          </w:p>
        </w:tc>
        <w:tc>
          <w:tcPr>
            <w:tcW w:w="2292" w:type="dxa"/>
            <w:tcBorders>
              <w:left w:val="single" w:sz="4" w:space="0" w:color="F5F7FF" w:themeColor="background1"/>
              <w:right w:val="single" w:sz="4" w:space="0" w:color="F5F7FF" w:themeColor="background1"/>
            </w:tcBorders>
          </w:tcPr>
          <w:p w14:paraId="611EA0F9" w14:textId="77777777" w:rsidR="00495AEF" w:rsidRPr="00E959A1" w:rsidRDefault="00495AEF" w:rsidP="004A66EA">
            <w:pPr>
              <w:cnfStyle w:val="100000000000" w:firstRow="1" w:lastRow="0" w:firstColumn="0" w:lastColumn="0" w:oddVBand="0" w:evenVBand="0" w:oddHBand="0" w:evenHBand="0" w:firstRowFirstColumn="0" w:firstRowLastColumn="0" w:lastRowFirstColumn="0" w:lastRowLastColumn="0"/>
              <w:rPr>
                <w:b w:val="0"/>
                <w:bCs w:val="0"/>
                <w:color w:val="F5F7FF" w:themeColor="background1"/>
              </w:rPr>
            </w:pPr>
            <w:r w:rsidRPr="00E53F37">
              <w:rPr>
                <w:b w:val="0"/>
                <w:bCs w:val="0"/>
                <w:color w:val="F5F7FF" w:themeColor="background1"/>
              </w:rPr>
              <w:t>BER share of cost</w:t>
            </w:r>
          </w:p>
        </w:tc>
        <w:tc>
          <w:tcPr>
            <w:tcW w:w="1473" w:type="dxa"/>
            <w:tcBorders>
              <w:left w:val="single" w:sz="4" w:space="0" w:color="F5F7FF" w:themeColor="background1"/>
              <w:right w:val="single" w:sz="4" w:space="0" w:color="F5F7FF" w:themeColor="background1"/>
            </w:tcBorders>
          </w:tcPr>
          <w:p w14:paraId="6F1267D1" w14:textId="77777777" w:rsidR="00495AEF" w:rsidRPr="00E959A1" w:rsidRDefault="00495AEF" w:rsidP="004A66EA">
            <w:pPr>
              <w:cnfStyle w:val="100000000000" w:firstRow="1" w:lastRow="0" w:firstColumn="0" w:lastColumn="0" w:oddVBand="0" w:evenVBand="0" w:oddHBand="0" w:evenHBand="0" w:firstRowFirstColumn="0" w:firstRowLastColumn="0" w:lastRowFirstColumn="0" w:lastRowLastColumn="0"/>
              <w:rPr>
                <w:b w:val="0"/>
                <w:bCs w:val="0"/>
                <w:color w:val="F5F7FF" w:themeColor="background1"/>
              </w:rPr>
            </w:pPr>
            <w:r w:rsidRPr="00E53F37">
              <w:rPr>
                <w:b w:val="0"/>
                <w:bCs w:val="0"/>
                <w:color w:val="F5F7FF" w:themeColor="background1"/>
              </w:rPr>
              <w:t>Actual share of cost</w:t>
            </w:r>
          </w:p>
        </w:tc>
        <w:tc>
          <w:tcPr>
            <w:tcW w:w="2016" w:type="dxa"/>
            <w:tcBorders>
              <w:left w:val="single" w:sz="4" w:space="0" w:color="F5F7FF" w:themeColor="background1"/>
              <w:right w:val="single" w:sz="4" w:space="0" w:color="F5F7FF" w:themeColor="background1"/>
            </w:tcBorders>
          </w:tcPr>
          <w:p w14:paraId="3025A454" w14:textId="77777777" w:rsidR="00495AEF" w:rsidRPr="00E959A1" w:rsidRDefault="00495AEF" w:rsidP="004A66EA">
            <w:pPr>
              <w:cnfStyle w:val="100000000000" w:firstRow="1" w:lastRow="0" w:firstColumn="0" w:lastColumn="0" w:oddVBand="0" w:evenVBand="0" w:oddHBand="0" w:evenHBand="0" w:firstRowFirstColumn="0" w:firstRowLastColumn="0" w:lastRowFirstColumn="0" w:lastRowLastColumn="0"/>
              <w:rPr>
                <w:b w:val="0"/>
                <w:bCs w:val="0"/>
                <w:color w:val="F5F7FF" w:themeColor="background1"/>
              </w:rPr>
            </w:pPr>
            <w:r w:rsidRPr="00E53F37">
              <w:rPr>
                <w:b w:val="0"/>
                <w:bCs w:val="0"/>
                <w:color w:val="F5F7FF" w:themeColor="background1"/>
              </w:rPr>
              <w:t>BER cost value</w:t>
            </w:r>
          </w:p>
        </w:tc>
        <w:tc>
          <w:tcPr>
            <w:tcW w:w="1520" w:type="dxa"/>
            <w:tcBorders>
              <w:left w:val="single" w:sz="4" w:space="0" w:color="F5F7FF" w:themeColor="background1"/>
              <w:right w:val="single" w:sz="4" w:space="0" w:color="F5F7FF" w:themeColor="background1"/>
            </w:tcBorders>
          </w:tcPr>
          <w:p w14:paraId="2F1DF778" w14:textId="77777777" w:rsidR="00495AEF" w:rsidRPr="00E959A1" w:rsidRDefault="00495AEF" w:rsidP="004A66EA">
            <w:pPr>
              <w:cnfStyle w:val="100000000000" w:firstRow="1" w:lastRow="0" w:firstColumn="0" w:lastColumn="0" w:oddVBand="0" w:evenVBand="0" w:oddHBand="0" w:evenHBand="0" w:firstRowFirstColumn="0" w:firstRowLastColumn="0" w:lastRowFirstColumn="0" w:lastRowLastColumn="0"/>
              <w:rPr>
                <w:b w:val="0"/>
                <w:bCs w:val="0"/>
                <w:color w:val="F5F7FF" w:themeColor="background1"/>
              </w:rPr>
            </w:pPr>
            <w:r w:rsidRPr="00E53F37">
              <w:rPr>
                <w:b w:val="0"/>
                <w:bCs w:val="0"/>
                <w:color w:val="F5F7FF" w:themeColor="background1"/>
              </w:rPr>
              <w:t>Actual cost value</w:t>
            </w:r>
          </w:p>
        </w:tc>
      </w:tr>
      <w:tr w:rsidR="007067BD" w14:paraId="4CBC2EEA" w14:textId="77777777" w:rsidTr="004A66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88" w:type="dxa"/>
            <w:tcBorders>
              <w:right w:val="single" w:sz="4" w:space="0" w:color="212133" w:themeColor="text1"/>
            </w:tcBorders>
          </w:tcPr>
          <w:p w14:paraId="6D330220" w14:textId="77777777" w:rsidR="007067BD" w:rsidRDefault="007067BD" w:rsidP="007067BD">
            <w:r w:rsidRPr="00E53F37">
              <w:t>Shippers</w:t>
            </w:r>
          </w:p>
        </w:tc>
        <w:tc>
          <w:tcPr>
            <w:tcW w:w="2292" w:type="dxa"/>
            <w:tcBorders>
              <w:left w:val="single" w:sz="4" w:space="0" w:color="212133" w:themeColor="text1"/>
              <w:right w:val="single" w:sz="4" w:space="0" w:color="212133" w:themeColor="text1"/>
            </w:tcBorders>
          </w:tcPr>
          <w:p w14:paraId="58E58680" w14:textId="22789BEC" w:rsidR="007067BD" w:rsidRDefault="007067BD" w:rsidP="007067BD">
            <w:pPr>
              <w:cnfStyle w:val="000000100000" w:firstRow="0" w:lastRow="0" w:firstColumn="0" w:lastColumn="0" w:oddVBand="0" w:evenVBand="0" w:oddHBand="1" w:evenHBand="0" w:firstRowFirstColumn="0" w:firstRowLastColumn="0" w:lastRowFirstColumn="0" w:lastRowLastColumn="0"/>
            </w:pPr>
            <w:r>
              <w:t>N/A</w:t>
            </w:r>
          </w:p>
        </w:tc>
        <w:tc>
          <w:tcPr>
            <w:tcW w:w="1473" w:type="dxa"/>
            <w:tcBorders>
              <w:left w:val="single" w:sz="4" w:space="0" w:color="212133" w:themeColor="text1"/>
              <w:right w:val="single" w:sz="4" w:space="0" w:color="212133" w:themeColor="text1"/>
            </w:tcBorders>
          </w:tcPr>
          <w:p w14:paraId="7865C685" w14:textId="3C8EE4EE" w:rsidR="007067BD" w:rsidRDefault="007067BD" w:rsidP="007067BD">
            <w:pPr>
              <w:cnfStyle w:val="000000100000" w:firstRow="0" w:lastRow="0" w:firstColumn="0" w:lastColumn="0" w:oddVBand="0" w:evenVBand="0" w:oddHBand="1" w:evenHBand="0" w:firstRowFirstColumn="0" w:firstRowLastColumn="0" w:lastRowFirstColumn="0" w:lastRowLastColumn="0"/>
            </w:pPr>
            <w:r w:rsidRPr="00997BDE">
              <w:t>N/A</w:t>
            </w:r>
          </w:p>
        </w:tc>
        <w:tc>
          <w:tcPr>
            <w:tcW w:w="2016" w:type="dxa"/>
            <w:tcBorders>
              <w:left w:val="single" w:sz="4" w:space="0" w:color="212133" w:themeColor="text1"/>
              <w:right w:val="single" w:sz="4" w:space="0" w:color="212133" w:themeColor="text1"/>
            </w:tcBorders>
          </w:tcPr>
          <w:p w14:paraId="737DDD57" w14:textId="5C1A3033" w:rsidR="007067BD" w:rsidRDefault="007067BD" w:rsidP="007067BD">
            <w:pPr>
              <w:cnfStyle w:val="000000100000" w:firstRow="0" w:lastRow="0" w:firstColumn="0" w:lastColumn="0" w:oddVBand="0" w:evenVBand="0" w:oddHBand="1" w:evenHBand="0" w:firstRowFirstColumn="0" w:firstRowLastColumn="0" w:lastRowFirstColumn="0" w:lastRowLastColumn="0"/>
            </w:pPr>
            <w:r w:rsidRPr="00997BDE">
              <w:t>N/A</w:t>
            </w:r>
          </w:p>
        </w:tc>
        <w:tc>
          <w:tcPr>
            <w:tcW w:w="1520" w:type="dxa"/>
            <w:tcBorders>
              <w:left w:val="single" w:sz="4" w:space="0" w:color="212133" w:themeColor="text1"/>
              <w:right w:val="single" w:sz="4" w:space="0" w:color="212133" w:themeColor="text1"/>
            </w:tcBorders>
          </w:tcPr>
          <w:p w14:paraId="3EA14AB7" w14:textId="624FEC86" w:rsidR="007067BD" w:rsidRDefault="007067BD" w:rsidP="007067BD">
            <w:pPr>
              <w:cnfStyle w:val="000000100000" w:firstRow="0" w:lastRow="0" w:firstColumn="0" w:lastColumn="0" w:oddVBand="0" w:evenVBand="0" w:oddHBand="1" w:evenHBand="0" w:firstRowFirstColumn="0" w:firstRowLastColumn="0" w:lastRowFirstColumn="0" w:lastRowLastColumn="0"/>
            </w:pPr>
            <w:r w:rsidRPr="00997BDE">
              <w:t>N/A</w:t>
            </w:r>
          </w:p>
        </w:tc>
      </w:tr>
      <w:tr w:rsidR="007067BD" w14:paraId="24B1A5D9" w14:textId="77777777" w:rsidTr="004A66EA">
        <w:trPr>
          <w:trHeight w:val="322"/>
        </w:trPr>
        <w:tc>
          <w:tcPr>
            <w:cnfStyle w:val="001000000000" w:firstRow="0" w:lastRow="0" w:firstColumn="1" w:lastColumn="0" w:oddVBand="0" w:evenVBand="0" w:oddHBand="0" w:evenHBand="0" w:firstRowFirstColumn="0" w:firstRowLastColumn="0" w:lastRowFirstColumn="0" w:lastRowLastColumn="0"/>
            <w:tcW w:w="1788" w:type="dxa"/>
            <w:tcBorders>
              <w:right w:val="single" w:sz="4" w:space="0" w:color="212133" w:themeColor="text1"/>
            </w:tcBorders>
          </w:tcPr>
          <w:p w14:paraId="6A609814" w14:textId="77777777" w:rsidR="007067BD" w:rsidRDefault="007067BD" w:rsidP="007067BD">
            <w:r w:rsidRPr="00E53F37">
              <w:t>IGTs</w:t>
            </w:r>
          </w:p>
        </w:tc>
        <w:tc>
          <w:tcPr>
            <w:tcW w:w="2292" w:type="dxa"/>
            <w:tcBorders>
              <w:left w:val="single" w:sz="4" w:space="0" w:color="212133" w:themeColor="text1"/>
              <w:right w:val="single" w:sz="4" w:space="0" w:color="212133" w:themeColor="text1"/>
            </w:tcBorders>
          </w:tcPr>
          <w:p w14:paraId="16B725A3" w14:textId="2E1422C5" w:rsidR="007067BD" w:rsidRDefault="007067BD" w:rsidP="007067BD">
            <w:pPr>
              <w:cnfStyle w:val="000000000000" w:firstRow="0" w:lastRow="0" w:firstColumn="0" w:lastColumn="0" w:oddVBand="0" w:evenVBand="0" w:oddHBand="0" w:evenHBand="0" w:firstRowFirstColumn="0" w:firstRowLastColumn="0" w:lastRowFirstColumn="0" w:lastRowLastColumn="0"/>
            </w:pPr>
            <w:r w:rsidRPr="00747BD1">
              <w:t>N/A</w:t>
            </w:r>
          </w:p>
        </w:tc>
        <w:tc>
          <w:tcPr>
            <w:tcW w:w="1473" w:type="dxa"/>
            <w:tcBorders>
              <w:left w:val="single" w:sz="4" w:space="0" w:color="212133" w:themeColor="text1"/>
              <w:right w:val="single" w:sz="4" w:space="0" w:color="212133" w:themeColor="text1"/>
            </w:tcBorders>
          </w:tcPr>
          <w:p w14:paraId="0B2BA70C" w14:textId="50F15FF1" w:rsidR="007067BD" w:rsidRDefault="007067BD" w:rsidP="007067BD">
            <w:pPr>
              <w:cnfStyle w:val="000000000000" w:firstRow="0" w:lastRow="0" w:firstColumn="0" w:lastColumn="0" w:oddVBand="0" w:evenVBand="0" w:oddHBand="0" w:evenHBand="0" w:firstRowFirstColumn="0" w:firstRowLastColumn="0" w:lastRowFirstColumn="0" w:lastRowLastColumn="0"/>
            </w:pPr>
            <w:r w:rsidRPr="00997BDE">
              <w:t>N/A</w:t>
            </w:r>
          </w:p>
        </w:tc>
        <w:tc>
          <w:tcPr>
            <w:tcW w:w="2016" w:type="dxa"/>
            <w:tcBorders>
              <w:left w:val="single" w:sz="4" w:space="0" w:color="212133" w:themeColor="text1"/>
              <w:right w:val="single" w:sz="4" w:space="0" w:color="212133" w:themeColor="text1"/>
            </w:tcBorders>
          </w:tcPr>
          <w:p w14:paraId="24B4401E" w14:textId="73B7E8BE" w:rsidR="007067BD" w:rsidRDefault="007067BD" w:rsidP="007067BD">
            <w:pPr>
              <w:cnfStyle w:val="000000000000" w:firstRow="0" w:lastRow="0" w:firstColumn="0" w:lastColumn="0" w:oddVBand="0" w:evenVBand="0" w:oddHBand="0" w:evenHBand="0" w:firstRowFirstColumn="0" w:firstRowLastColumn="0" w:lastRowFirstColumn="0" w:lastRowLastColumn="0"/>
            </w:pPr>
            <w:r w:rsidRPr="00997BDE">
              <w:t>N/A</w:t>
            </w:r>
          </w:p>
        </w:tc>
        <w:tc>
          <w:tcPr>
            <w:tcW w:w="1520" w:type="dxa"/>
            <w:tcBorders>
              <w:left w:val="single" w:sz="4" w:space="0" w:color="212133" w:themeColor="text1"/>
              <w:right w:val="single" w:sz="4" w:space="0" w:color="212133" w:themeColor="text1"/>
            </w:tcBorders>
          </w:tcPr>
          <w:p w14:paraId="320C80B0" w14:textId="2F31CA24" w:rsidR="007067BD" w:rsidRDefault="007067BD" w:rsidP="007067BD">
            <w:pPr>
              <w:cnfStyle w:val="000000000000" w:firstRow="0" w:lastRow="0" w:firstColumn="0" w:lastColumn="0" w:oddVBand="0" w:evenVBand="0" w:oddHBand="0" w:evenHBand="0" w:firstRowFirstColumn="0" w:firstRowLastColumn="0" w:lastRowFirstColumn="0" w:lastRowLastColumn="0"/>
            </w:pPr>
            <w:r w:rsidRPr="00997BDE">
              <w:t>N/A</w:t>
            </w:r>
          </w:p>
        </w:tc>
      </w:tr>
      <w:tr w:rsidR="007067BD" w14:paraId="5CF6138A" w14:textId="77777777" w:rsidTr="004A66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88" w:type="dxa"/>
            <w:tcBorders>
              <w:right w:val="single" w:sz="4" w:space="0" w:color="212133" w:themeColor="text1"/>
            </w:tcBorders>
          </w:tcPr>
          <w:p w14:paraId="4E343B5D" w14:textId="77777777" w:rsidR="007067BD" w:rsidRDefault="007067BD" w:rsidP="007067BD">
            <w:r w:rsidRPr="00E53F37">
              <w:t>DNOs</w:t>
            </w:r>
          </w:p>
        </w:tc>
        <w:tc>
          <w:tcPr>
            <w:tcW w:w="2292" w:type="dxa"/>
            <w:tcBorders>
              <w:left w:val="single" w:sz="4" w:space="0" w:color="212133" w:themeColor="text1"/>
              <w:right w:val="single" w:sz="4" w:space="0" w:color="212133" w:themeColor="text1"/>
            </w:tcBorders>
          </w:tcPr>
          <w:p w14:paraId="44D64E34" w14:textId="5586A28D" w:rsidR="007067BD" w:rsidRDefault="007067BD" w:rsidP="007067BD">
            <w:pPr>
              <w:cnfStyle w:val="000000100000" w:firstRow="0" w:lastRow="0" w:firstColumn="0" w:lastColumn="0" w:oddVBand="0" w:evenVBand="0" w:oddHBand="1" w:evenHBand="0" w:firstRowFirstColumn="0" w:firstRowLastColumn="0" w:lastRowFirstColumn="0" w:lastRowLastColumn="0"/>
            </w:pPr>
            <w:r w:rsidRPr="00747BD1">
              <w:t>N/A</w:t>
            </w:r>
          </w:p>
        </w:tc>
        <w:tc>
          <w:tcPr>
            <w:tcW w:w="1473" w:type="dxa"/>
            <w:tcBorders>
              <w:left w:val="single" w:sz="4" w:space="0" w:color="212133" w:themeColor="text1"/>
              <w:right w:val="single" w:sz="4" w:space="0" w:color="212133" w:themeColor="text1"/>
            </w:tcBorders>
          </w:tcPr>
          <w:p w14:paraId="6C82FE8C" w14:textId="56FA8674" w:rsidR="007067BD" w:rsidRDefault="007067BD" w:rsidP="007067BD">
            <w:pPr>
              <w:cnfStyle w:val="000000100000" w:firstRow="0" w:lastRow="0" w:firstColumn="0" w:lastColumn="0" w:oddVBand="0" w:evenVBand="0" w:oddHBand="1" w:evenHBand="0" w:firstRowFirstColumn="0" w:firstRowLastColumn="0" w:lastRowFirstColumn="0" w:lastRowLastColumn="0"/>
            </w:pPr>
            <w:r w:rsidRPr="00997BDE">
              <w:t>N/A</w:t>
            </w:r>
          </w:p>
        </w:tc>
        <w:tc>
          <w:tcPr>
            <w:tcW w:w="2016" w:type="dxa"/>
            <w:tcBorders>
              <w:left w:val="single" w:sz="4" w:space="0" w:color="212133" w:themeColor="text1"/>
              <w:right w:val="single" w:sz="4" w:space="0" w:color="212133" w:themeColor="text1"/>
            </w:tcBorders>
          </w:tcPr>
          <w:p w14:paraId="786C4302" w14:textId="7168C784" w:rsidR="007067BD" w:rsidRDefault="007067BD" w:rsidP="007067BD">
            <w:pPr>
              <w:cnfStyle w:val="000000100000" w:firstRow="0" w:lastRow="0" w:firstColumn="0" w:lastColumn="0" w:oddVBand="0" w:evenVBand="0" w:oddHBand="1" w:evenHBand="0" w:firstRowFirstColumn="0" w:firstRowLastColumn="0" w:lastRowFirstColumn="0" w:lastRowLastColumn="0"/>
            </w:pPr>
            <w:r w:rsidRPr="00997BDE">
              <w:t>N/A</w:t>
            </w:r>
          </w:p>
        </w:tc>
        <w:tc>
          <w:tcPr>
            <w:tcW w:w="1520" w:type="dxa"/>
            <w:tcBorders>
              <w:left w:val="single" w:sz="4" w:space="0" w:color="212133" w:themeColor="text1"/>
              <w:right w:val="single" w:sz="4" w:space="0" w:color="212133" w:themeColor="text1"/>
            </w:tcBorders>
          </w:tcPr>
          <w:p w14:paraId="6C539132" w14:textId="24248B6A" w:rsidR="007067BD" w:rsidRDefault="007067BD" w:rsidP="007067BD">
            <w:pPr>
              <w:cnfStyle w:val="000000100000" w:firstRow="0" w:lastRow="0" w:firstColumn="0" w:lastColumn="0" w:oddVBand="0" w:evenVBand="0" w:oddHBand="1" w:evenHBand="0" w:firstRowFirstColumn="0" w:firstRowLastColumn="0" w:lastRowFirstColumn="0" w:lastRowLastColumn="0"/>
            </w:pPr>
            <w:r w:rsidRPr="00997BDE">
              <w:t>N/A</w:t>
            </w:r>
          </w:p>
        </w:tc>
      </w:tr>
      <w:tr w:rsidR="007067BD" w14:paraId="1794F5F5" w14:textId="77777777" w:rsidTr="004A66EA">
        <w:trPr>
          <w:trHeight w:val="336"/>
        </w:trPr>
        <w:tc>
          <w:tcPr>
            <w:cnfStyle w:val="001000000000" w:firstRow="0" w:lastRow="0" w:firstColumn="1" w:lastColumn="0" w:oddVBand="0" w:evenVBand="0" w:oddHBand="0" w:evenHBand="0" w:firstRowFirstColumn="0" w:firstRowLastColumn="0" w:lastRowFirstColumn="0" w:lastRowLastColumn="0"/>
            <w:tcW w:w="1788" w:type="dxa"/>
            <w:tcBorders>
              <w:right w:val="single" w:sz="4" w:space="0" w:color="212133" w:themeColor="text1"/>
            </w:tcBorders>
          </w:tcPr>
          <w:p w14:paraId="67587005" w14:textId="33A503BC" w:rsidR="007067BD" w:rsidRDefault="007067BD" w:rsidP="007067BD">
            <w:r w:rsidRPr="00E53F37">
              <w:t>Nation</w:t>
            </w:r>
            <w:r w:rsidR="0064459C">
              <w:t>al</w:t>
            </w:r>
            <w:r w:rsidRPr="00E53F37">
              <w:t xml:space="preserve"> Gas Transmission</w:t>
            </w:r>
          </w:p>
        </w:tc>
        <w:tc>
          <w:tcPr>
            <w:tcW w:w="2292" w:type="dxa"/>
            <w:tcBorders>
              <w:left w:val="single" w:sz="4" w:space="0" w:color="212133" w:themeColor="text1"/>
              <w:right w:val="single" w:sz="4" w:space="0" w:color="212133" w:themeColor="text1"/>
            </w:tcBorders>
          </w:tcPr>
          <w:p w14:paraId="46CE5651" w14:textId="2916E3E6" w:rsidR="007067BD" w:rsidRDefault="007067BD" w:rsidP="007067BD">
            <w:pPr>
              <w:cnfStyle w:val="000000000000" w:firstRow="0" w:lastRow="0" w:firstColumn="0" w:lastColumn="0" w:oddVBand="0" w:evenVBand="0" w:oddHBand="0" w:evenHBand="0" w:firstRowFirstColumn="0" w:firstRowLastColumn="0" w:lastRowFirstColumn="0" w:lastRowLastColumn="0"/>
            </w:pPr>
            <w:r w:rsidRPr="00747BD1">
              <w:t>N/A</w:t>
            </w:r>
          </w:p>
        </w:tc>
        <w:tc>
          <w:tcPr>
            <w:tcW w:w="1473" w:type="dxa"/>
            <w:tcBorders>
              <w:left w:val="single" w:sz="4" w:space="0" w:color="212133" w:themeColor="text1"/>
              <w:right w:val="single" w:sz="4" w:space="0" w:color="212133" w:themeColor="text1"/>
            </w:tcBorders>
          </w:tcPr>
          <w:p w14:paraId="74D24DD8" w14:textId="6404EB2D" w:rsidR="007067BD" w:rsidRDefault="007067BD" w:rsidP="007067BD">
            <w:pPr>
              <w:cnfStyle w:val="000000000000" w:firstRow="0" w:lastRow="0" w:firstColumn="0" w:lastColumn="0" w:oddVBand="0" w:evenVBand="0" w:oddHBand="0" w:evenHBand="0" w:firstRowFirstColumn="0" w:firstRowLastColumn="0" w:lastRowFirstColumn="0" w:lastRowLastColumn="0"/>
            </w:pPr>
            <w:r w:rsidRPr="00997BDE">
              <w:t>N/A</w:t>
            </w:r>
          </w:p>
        </w:tc>
        <w:tc>
          <w:tcPr>
            <w:tcW w:w="2016" w:type="dxa"/>
            <w:tcBorders>
              <w:left w:val="single" w:sz="4" w:space="0" w:color="212133" w:themeColor="text1"/>
              <w:right w:val="single" w:sz="4" w:space="0" w:color="212133" w:themeColor="text1"/>
            </w:tcBorders>
          </w:tcPr>
          <w:p w14:paraId="4301514D" w14:textId="5BBB14F4" w:rsidR="007067BD" w:rsidRDefault="007067BD" w:rsidP="007067BD">
            <w:pPr>
              <w:cnfStyle w:val="000000000000" w:firstRow="0" w:lastRow="0" w:firstColumn="0" w:lastColumn="0" w:oddVBand="0" w:evenVBand="0" w:oddHBand="0" w:evenHBand="0" w:firstRowFirstColumn="0" w:firstRowLastColumn="0" w:lastRowFirstColumn="0" w:lastRowLastColumn="0"/>
            </w:pPr>
            <w:r w:rsidRPr="00997BDE">
              <w:t>N/A</w:t>
            </w:r>
          </w:p>
        </w:tc>
        <w:tc>
          <w:tcPr>
            <w:tcW w:w="1520" w:type="dxa"/>
            <w:tcBorders>
              <w:left w:val="single" w:sz="4" w:space="0" w:color="212133" w:themeColor="text1"/>
              <w:right w:val="single" w:sz="4" w:space="0" w:color="212133" w:themeColor="text1"/>
            </w:tcBorders>
          </w:tcPr>
          <w:p w14:paraId="2498DE4D" w14:textId="29052E29" w:rsidR="007067BD" w:rsidRDefault="007067BD" w:rsidP="007067BD">
            <w:pPr>
              <w:cnfStyle w:val="000000000000" w:firstRow="0" w:lastRow="0" w:firstColumn="0" w:lastColumn="0" w:oddVBand="0" w:evenVBand="0" w:oddHBand="0" w:evenHBand="0" w:firstRowFirstColumn="0" w:firstRowLastColumn="0" w:lastRowFirstColumn="0" w:lastRowLastColumn="0"/>
            </w:pPr>
            <w:r w:rsidRPr="00997BDE">
              <w:t>N/A</w:t>
            </w:r>
          </w:p>
        </w:tc>
      </w:tr>
      <w:tr w:rsidR="007067BD" w14:paraId="01EF14A2" w14:textId="77777777" w:rsidTr="004A66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88" w:type="dxa"/>
            <w:tcBorders>
              <w:right w:val="single" w:sz="4" w:space="0" w:color="212133" w:themeColor="text1"/>
            </w:tcBorders>
          </w:tcPr>
          <w:p w14:paraId="48AC8481" w14:textId="77777777" w:rsidR="007067BD" w:rsidRPr="00E53F37" w:rsidRDefault="007067BD" w:rsidP="007067BD">
            <w:r w:rsidRPr="00E53F37">
              <w:t>DNOs &amp; IGTs</w:t>
            </w:r>
          </w:p>
        </w:tc>
        <w:tc>
          <w:tcPr>
            <w:tcW w:w="2292" w:type="dxa"/>
            <w:tcBorders>
              <w:left w:val="single" w:sz="4" w:space="0" w:color="212133" w:themeColor="text1"/>
              <w:right w:val="single" w:sz="4" w:space="0" w:color="212133" w:themeColor="text1"/>
            </w:tcBorders>
          </w:tcPr>
          <w:p w14:paraId="1D64342A" w14:textId="6E31BEE0" w:rsidR="007067BD" w:rsidRDefault="007067BD" w:rsidP="007067BD">
            <w:pPr>
              <w:cnfStyle w:val="000000100000" w:firstRow="0" w:lastRow="0" w:firstColumn="0" w:lastColumn="0" w:oddVBand="0" w:evenVBand="0" w:oddHBand="1" w:evenHBand="0" w:firstRowFirstColumn="0" w:firstRowLastColumn="0" w:lastRowFirstColumn="0" w:lastRowLastColumn="0"/>
            </w:pPr>
            <w:r w:rsidRPr="00747BD1">
              <w:t>N/A</w:t>
            </w:r>
          </w:p>
        </w:tc>
        <w:tc>
          <w:tcPr>
            <w:tcW w:w="1473" w:type="dxa"/>
            <w:tcBorders>
              <w:left w:val="single" w:sz="4" w:space="0" w:color="212133" w:themeColor="text1"/>
              <w:right w:val="single" w:sz="4" w:space="0" w:color="212133" w:themeColor="text1"/>
            </w:tcBorders>
          </w:tcPr>
          <w:p w14:paraId="2831E6EE" w14:textId="2BBF11CA" w:rsidR="007067BD" w:rsidRDefault="007067BD" w:rsidP="007067BD">
            <w:pPr>
              <w:cnfStyle w:val="000000100000" w:firstRow="0" w:lastRow="0" w:firstColumn="0" w:lastColumn="0" w:oddVBand="0" w:evenVBand="0" w:oddHBand="1" w:evenHBand="0" w:firstRowFirstColumn="0" w:firstRowLastColumn="0" w:lastRowFirstColumn="0" w:lastRowLastColumn="0"/>
            </w:pPr>
            <w:r w:rsidRPr="00997BDE">
              <w:t>N/A</w:t>
            </w:r>
          </w:p>
        </w:tc>
        <w:tc>
          <w:tcPr>
            <w:tcW w:w="2016" w:type="dxa"/>
            <w:tcBorders>
              <w:left w:val="single" w:sz="4" w:space="0" w:color="212133" w:themeColor="text1"/>
              <w:right w:val="single" w:sz="4" w:space="0" w:color="212133" w:themeColor="text1"/>
            </w:tcBorders>
          </w:tcPr>
          <w:p w14:paraId="1D7510BB" w14:textId="331FB42D" w:rsidR="007067BD" w:rsidRDefault="007067BD" w:rsidP="007067BD">
            <w:pPr>
              <w:cnfStyle w:val="000000100000" w:firstRow="0" w:lastRow="0" w:firstColumn="0" w:lastColumn="0" w:oddVBand="0" w:evenVBand="0" w:oddHBand="1" w:evenHBand="0" w:firstRowFirstColumn="0" w:firstRowLastColumn="0" w:lastRowFirstColumn="0" w:lastRowLastColumn="0"/>
            </w:pPr>
            <w:r w:rsidRPr="00997BDE">
              <w:t>N/A</w:t>
            </w:r>
          </w:p>
        </w:tc>
        <w:tc>
          <w:tcPr>
            <w:tcW w:w="1520" w:type="dxa"/>
            <w:tcBorders>
              <w:left w:val="single" w:sz="4" w:space="0" w:color="212133" w:themeColor="text1"/>
              <w:right w:val="single" w:sz="4" w:space="0" w:color="212133" w:themeColor="text1"/>
            </w:tcBorders>
          </w:tcPr>
          <w:p w14:paraId="2F0F885D" w14:textId="46C8ADC4" w:rsidR="007067BD" w:rsidRDefault="007067BD" w:rsidP="007067BD">
            <w:pPr>
              <w:cnfStyle w:val="000000100000" w:firstRow="0" w:lastRow="0" w:firstColumn="0" w:lastColumn="0" w:oddVBand="0" w:evenVBand="0" w:oddHBand="1" w:evenHBand="0" w:firstRowFirstColumn="0" w:firstRowLastColumn="0" w:lastRowFirstColumn="0" w:lastRowLastColumn="0"/>
            </w:pPr>
            <w:r w:rsidRPr="00997BDE">
              <w:t>N/A</w:t>
            </w:r>
          </w:p>
        </w:tc>
      </w:tr>
    </w:tbl>
    <w:p w14:paraId="1AB578C5" w14:textId="132708B4" w:rsidR="00752029" w:rsidRPr="003B6350" w:rsidRDefault="00752029" w:rsidP="00495AEF">
      <w:r>
        <w:rPr>
          <w:rFonts w:ascii="Nunito Sans" w:eastAsia="Times New Roman" w:hAnsi="Nunito Sans" w:cs="Arial"/>
          <w:bCs/>
          <w:iCs/>
          <w:sz w:val="20"/>
          <w:szCs w:val="20"/>
        </w:rPr>
        <w:br/>
      </w:r>
      <w:r w:rsidRPr="00752029">
        <w:rPr>
          <w:rFonts w:eastAsiaTheme="majorEastAsia" w:cstheme="majorBidi"/>
          <w:color w:val="212133" w:themeColor="text1"/>
        </w:rPr>
        <w:t>The delivery of XRN5200 was funded from the Service &amp; Operate budget for change delivery.</w:t>
      </w:r>
    </w:p>
    <w:p w14:paraId="64338FD0" w14:textId="77777777" w:rsidR="00495AEF" w:rsidRDefault="00495AEF" w:rsidP="00495AEF">
      <w:pPr>
        <w:pStyle w:val="Heading1"/>
      </w:pPr>
      <w:r>
        <w:t xml:space="preserve">Section 3: </w:t>
      </w:r>
      <w:r w:rsidRPr="00A206F0">
        <w:t>Provide a summary of any agreed</w:t>
      </w:r>
      <w:r>
        <w:t xml:space="preserve"> </w:t>
      </w:r>
      <w:r w:rsidRPr="00A206F0">
        <w:t>scope changes</w:t>
      </w:r>
    </w:p>
    <w:p w14:paraId="6112FB3C" w14:textId="77777777" w:rsidR="005C4E32" w:rsidRPr="005C4E32" w:rsidRDefault="005C4E32" w:rsidP="005C4E32"/>
    <w:p w14:paraId="26A3CE87" w14:textId="5686C5A6" w:rsidR="005C4E32" w:rsidRPr="005C4E32" w:rsidRDefault="005C4E32" w:rsidP="005C4E32">
      <w:r w:rsidRPr="005C4E32">
        <w:rPr>
          <w:rFonts w:eastAsia="Times New Roman" w:cs="Arial"/>
        </w:rPr>
        <w:t>There were no changes to the scope of XRN5200 from what was presented at ChMC in July 2025.</w:t>
      </w:r>
    </w:p>
    <w:p w14:paraId="29210C42" w14:textId="77777777" w:rsidR="00495AEF" w:rsidRDefault="00495AEF" w:rsidP="00495AEF">
      <w:pPr>
        <w:rPr>
          <w:rFonts w:eastAsia="Century Gothic" w:cs="Century Gothic"/>
          <w:color w:val="auto"/>
        </w:rPr>
      </w:pPr>
    </w:p>
    <w:p w14:paraId="73E016D1" w14:textId="77777777" w:rsidR="00495AEF" w:rsidRPr="00535194" w:rsidRDefault="00495AEF" w:rsidP="00495AEF">
      <w:pPr>
        <w:rPr>
          <w:rFonts w:eastAsia="Century Gothic" w:cs="Century Gothic"/>
          <w:color w:val="auto"/>
        </w:rPr>
      </w:pPr>
    </w:p>
    <w:p w14:paraId="60C6937E" w14:textId="77777777" w:rsidR="00495AEF" w:rsidRPr="00535194" w:rsidRDefault="00495AEF" w:rsidP="00495AEF">
      <w:pPr>
        <w:rPr>
          <w:rFonts w:eastAsia="Century Gothic" w:cs="Century Gothic"/>
          <w:color w:val="auto"/>
        </w:rPr>
      </w:pPr>
    </w:p>
    <w:p w14:paraId="3D153C63" w14:textId="77777777" w:rsidR="00495AEF" w:rsidRDefault="00495AEF" w:rsidP="00495AEF">
      <w:pPr>
        <w:rPr>
          <w:rFonts w:eastAsia="Century Gothic" w:cs="Century Gothic"/>
          <w:color w:val="6680FF" w:themeColor="accent2"/>
          <w:sz w:val="40"/>
          <w:szCs w:val="40"/>
        </w:rPr>
      </w:pPr>
      <w:r w:rsidRPr="00193E84">
        <w:rPr>
          <w:rFonts w:eastAsia="Century Gothic" w:cs="Century Gothic"/>
          <w:color w:val="6680FF" w:themeColor="accent2"/>
          <w:sz w:val="40"/>
          <w:szCs w:val="40"/>
        </w:rPr>
        <w:t>Section 4: Detail any changes to the Xoserve Service Description</w:t>
      </w:r>
    </w:p>
    <w:p w14:paraId="039B1DA6" w14:textId="77777777" w:rsidR="000444A5" w:rsidRDefault="000444A5" w:rsidP="00495AEF">
      <w:pPr>
        <w:rPr>
          <w:rFonts w:eastAsia="Century Gothic" w:cs="Century Gothic"/>
          <w:color w:val="6680FF" w:themeColor="accent2"/>
          <w:sz w:val="40"/>
          <w:szCs w:val="40"/>
        </w:rPr>
      </w:pPr>
    </w:p>
    <w:p w14:paraId="0A319B2C" w14:textId="7EB23695" w:rsidR="000444A5" w:rsidRPr="000444A5" w:rsidRDefault="000444A5" w:rsidP="00495AEF">
      <w:pPr>
        <w:rPr>
          <w:rFonts w:eastAsia="Century Gothic" w:cs="Century Gothic"/>
          <w:color w:val="6680FF" w:themeColor="accent2"/>
        </w:rPr>
      </w:pPr>
      <w:r w:rsidRPr="000444A5">
        <w:rPr>
          <w:rFonts w:eastAsia="Times New Roman" w:cs="Arial"/>
          <w:bCs/>
        </w:rPr>
        <w:t>‘Shipper Packs’ have been decommissioned. The same information can be accessed directly via the Data Discovery Platform (DDP) by the relevant parties.</w:t>
      </w:r>
    </w:p>
    <w:p w14:paraId="72BA8637" w14:textId="77777777" w:rsidR="00495AEF" w:rsidRDefault="00495AEF" w:rsidP="00495AEF">
      <w:pPr>
        <w:rPr>
          <w:rFonts w:eastAsia="Century Gothic" w:cs="Century Gothic"/>
          <w:color w:val="auto"/>
        </w:rPr>
      </w:pPr>
    </w:p>
    <w:p w14:paraId="78BBED87" w14:textId="77777777" w:rsidR="00495AEF" w:rsidRDefault="00495AEF" w:rsidP="00495AEF">
      <w:pPr>
        <w:rPr>
          <w:rFonts w:eastAsia="Century Gothic" w:cs="Century Gothic"/>
          <w:color w:val="auto"/>
        </w:rPr>
      </w:pPr>
    </w:p>
    <w:p w14:paraId="5C94567E" w14:textId="77777777" w:rsidR="00495AEF" w:rsidRPr="00535194" w:rsidRDefault="00495AEF" w:rsidP="00495AEF">
      <w:pPr>
        <w:rPr>
          <w:rFonts w:eastAsia="Century Gothic" w:cs="Century Gothic"/>
          <w:color w:val="auto"/>
        </w:rPr>
      </w:pPr>
    </w:p>
    <w:p w14:paraId="41C702C1" w14:textId="77777777" w:rsidR="00495AEF" w:rsidRPr="00535194" w:rsidRDefault="00495AEF" w:rsidP="00495AEF">
      <w:pPr>
        <w:rPr>
          <w:rFonts w:eastAsia="Century Gothic" w:cs="Century Gothic"/>
          <w:color w:val="auto"/>
        </w:rPr>
      </w:pPr>
    </w:p>
    <w:p w14:paraId="0AC17DEF" w14:textId="77777777" w:rsidR="00495AEF" w:rsidRDefault="00495AEF" w:rsidP="00495AEF">
      <w:pPr>
        <w:rPr>
          <w:rFonts w:eastAsia="Century Gothic" w:cs="Century Gothic"/>
          <w:color w:val="6680FF" w:themeColor="accent2"/>
          <w:sz w:val="40"/>
          <w:szCs w:val="40"/>
        </w:rPr>
      </w:pPr>
      <w:r w:rsidRPr="00193E84">
        <w:rPr>
          <w:rFonts w:eastAsia="Century Gothic" w:cs="Century Gothic"/>
          <w:color w:val="6680FF" w:themeColor="accent2"/>
          <w:sz w:val="40"/>
          <w:szCs w:val="40"/>
        </w:rPr>
        <w:t>Section 5: Provide details of any revisions to the text of the UK Link Manual</w:t>
      </w:r>
    </w:p>
    <w:p w14:paraId="0893B6D6" w14:textId="77777777" w:rsidR="000444A5" w:rsidRDefault="000444A5" w:rsidP="00495AEF">
      <w:pPr>
        <w:rPr>
          <w:rFonts w:eastAsia="Century Gothic" w:cs="Century Gothic"/>
          <w:color w:val="6680FF" w:themeColor="accent2"/>
          <w:sz w:val="40"/>
          <w:szCs w:val="40"/>
        </w:rPr>
      </w:pPr>
    </w:p>
    <w:p w14:paraId="351F33CC" w14:textId="35034D28" w:rsidR="000444A5" w:rsidRPr="00FC2D85" w:rsidRDefault="00E8498C" w:rsidP="00495AEF">
      <w:pPr>
        <w:rPr>
          <w:rFonts w:eastAsia="Century Gothic" w:cs="Century Gothic"/>
          <w:color w:val="auto"/>
        </w:rPr>
      </w:pPr>
      <w:r w:rsidRPr="00FC2D85">
        <w:rPr>
          <w:rFonts w:eastAsia="Century Gothic" w:cs="Century Gothic"/>
          <w:color w:val="auto"/>
        </w:rPr>
        <w:t>There</w:t>
      </w:r>
      <w:r w:rsidR="003354E6" w:rsidRPr="00FC2D85">
        <w:rPr>
          <w:rFonts w:eastAsia="Century Gothic" w:cs="Century Gothic"/>
          <w:color w:val="auto"/>
        </w:rPr>
        <w:t xml:space="preserve"> have been no </w:t>
      </w:r>
      <w:r w:rsidR="00E30B06" w:rsidRPr="00FC2D85">
        <w:rPr>
          <w:rFonts w:eastAsia="Century Gothic" w:cs="Century Gothic"/>
          <w:color w:val="auto"/>
        </w:rPr>
        <w:t xml:space="preserve">revisions to the UK Link Manual </w:t>
      </w:r>
      <w:r w:rsidR="00FC2D85" w:rsidRPr="00FC2D85">
        <w:rPr>
          <w:rFonts w:eastAsia="Century Gothic" w:cs="Century Gothic"/>
          <w:color w:val="auto"/>
        </w:rPr>
        <w:t>because of XRN5200.</w:t>
      </w:r>
    </w:p>
    <w:p w14:paraId="3C08E8CE" w14:textId="77777777" w:rsidR="00495AEF" w:rsidRDefault="00495AEF" w:rsidP="00495AEF">
      <w:pPr>
        <w:rPr>
          <w:rFonts w:eastAsia="Century Gothic" w:cs="Century Gothic"/>
          <w:color w:val="auto"/>
        </w:rPr>
      </w:pPr>
    </w:p>
    <w:p w14:paraId="3CD7FC68" w14:textId="77777777" w:rsidR="00495AEF" w:rsidRDefault="00495AEF" w:rsidP="00495AEF">
      <w:pPr>
        <w:rPr>
          <w:rFonts w:eastAsia="Century Gothic" w:cs="Century Gothic"/>
          <w:color w:val="auto"/>
        </w:rPr>
      </w:pPr>
    </w:p>
    <w:p w14:paraId="44FAE5E4" w14:textId="77777777" w:rsidR="00495AEF" w:rsidRPr="00535194" w:rsidRDefault="00495AEF" w:rsidP="00495AEF">
      <w:pPr>
        <w:rPr>
          <w:rFonts w:eastAsia="Century Gothic" w:cs="Century Gothic"/>
          <w:color w:val="auto"/>
        </w:rPr>
      </w:pPr>
    </w:p>
    <w:p w14:paraId="685239F0" w14:textId="77777777" w:rsidR="00495AEF" w:rsidRPr="00535194" w:rsidRDefault="00495AEF" w:rsidP="00495AEF">
      <w:pPr>
        <w:rPr>
          <w:rFonts w:eastAsia="Century Gothic" w:cs="Century Gothic"/>
          <w:color w:val="auto"/>
        </w:rPr>
      </w:pPr>
    </w:p>
    <w:p w14:paraId="35858B6C" w14:textId="77777777" w:rsidR="00495AEF" w:rsidRDefault="00495AEF" w:rsidP="00495AEF">
      <w:pPr>
        <w:rPr>
          <w:rFonts w:eastAsia="Century Gothic" w:cs="Century Gothic"/>
          <w:color w:val="6680FF" w:themeColor="accent2"/>
          <w:sz w:val="40"/>
          <w:szCs w:val="40"/>
        </w:rPr>
      </w:pPr>
      <w:r w:rsidRPr="00193E84">
        <w:rPr>
          <w:rFonts w:eastAsia="Century Gothic" w:cs="Century Gothic"/>
          <w:color w:val="6680FF" w:themeColor="accent2"/>
          <w:sz w:val="40"/>
          <w:szCs w:val="40"/>
        </w:rPr>
        <w:t>Section 6: Lessons Learnt</w:t>
      </w:r>
    </w:p>
    <w:p w14:paraId="23AB660D" w14:textId="77777777" w:rsidR="00EB7CF0" w:rsidRDefault="00EB7CF0" w:rsidP="00495AEF">
      <w:pPr>
        <w:rPr>
          <w:rFonts w:eastAsia="Century Gothic" w:cs="Century Gothic"/>
          <w:color w:val="6680FF" w:themeColor="accent2"/>
          <w:sz w:val="40"/>
          <w:szCs w:val="40"/>
        </w:rPr>
      </w:pPr>
    </w:p>
    <w:p w14:paraId="54E01DFB" w14:textId="18299B1C" w:rsidR="00495AEF" w:rsidRPr="001C6B34" w:rsidRDefault="00EB7CF0" w:rsidP="00495AEF">
      <w:pPr>
        <w:rPr>
          <w:rFonts w:eastAsia="Century Gothic" w:cs="Century Gothic"/>
          <w:color w:val="6680FF" w:themeColor="accent2"/>
        </w:rPr>
      </w:pPr>
      <w:r w:rsidRPr="00EB7CF0">
        <w:rPr>
          <w:rFonts w:eastAsia="Nunito Sans" w:cs="Nunito Sans"/>
          <w:color w:val="auto"/>
          <w:lang w:eastAsia="en-GB"/>
        </w:rPr>
        <w:t xml:space="preserve">A lesson learnt from this change is that early engagement through ChMC and with the customer (in this case the Shippers) helped ensure a smooth decommissioning process, as sufficient information was shared in advance of the change being implemented. As a </w:t>
      </w:r>
      <w:proofErr w:type="gramStart"/>
      <w:r w:rsidRPr="00EB7CF0">
        <w:rPr>
          <w:rFonts w:eastAsia="Nunito Sans" w:cs="Nunito Sans"/>
          <w:color w:val="auto"/>
          <w:lang w:eastAsia="en-GB"/>
        </w:rPr>
        <w:t>result</w:t>
      </w:r>
      <w:proofErr w:type="gramEnd"/>
      <w:r w:rsidRPr="00EB7CF0">
        <w:rPr>
          <w:rFonts w:eastAsia="Nunito Sans" w:cs="Nunito Sans"/>
          <w:color w:val="auto"/>
          <w:lang w:eastAsia="en-GB"/>
        </w:rPr>
        <w:t xml:space="preserve"> no customer tickets or queries were raised.</w:t>
      </w:r>
    </w:p>
    <w:p w14:paraId="34EAFED3" w14:textId="77777777" w:rsidR="00495AEF" w:rsidRPr="001C6B34" w:rsidRDefault="00495AEF" w:rsidP="00495AEF">
      <w:pPr>
        <w:rPr>
          <w:rFonts w:eastAsia="Arial" w:cs="Arial"/>
          <w:b/>
        </w:rPr>
      </w:pPr>
    </w:p>
    <w:p w14:paraId="363EB9EC" w14:textId="77777777" w:rsidR="00495AEF" w:rsidRPr="001C6B34" w:rsidRDefault="00495AEF" w:rsidP="00495AEF">
      <w:pPr>
        <w:rPr>
          <w:rFonts w:eastAsia="Arial" w:cs="Arial"/>
          <w:b/>
        </w:rPr>
      </w:pPr>
    </w:p>
    <w:p w14:paraId="1F6F6156" w14:textId="77777777" w:rsidR="00495AEF" w:rsidRPr="001C6B34" w:rsidRDefault="00495AEF" w:rsidP="00495AEF">
      <w:pPr>
        <w:rPr>
          <w:rFonts w:eastAsia="Arial" w:cs="Arial"/>
          <w:b/>
        </w:rPr>
      </w:pPr>
    </w:p>
    <w:p w14:paraId="0EF5E87A" w14:textId="77777777" w:rsidR="00495AEF" w:rsidRPr="001C6B34" w:rsidRDefault="00495AEF" w:rsidP="00495AEF">
      <w:pPr>
        <w:rPr>
          <w:rFonts w:eastAsia="Arial" w:cs="Arial"/>
          <w:b/>
        </w:rPr>
      </w:pPr>
    </w:p>
    <w:p w14:paraId="0AE447B2" w14:textId="77777777" w:rsidR="00495AEF" w:rsidRPr="001C6B34" w:rsidRDefault="00495AEF" w:rsidP="00495AEF">
      <w:pPr>
        <w:rPr>
          <w:rFonts w:eastAsia="Arial" w:cs="Arial"/>
          <w:b/>
        </w:rPr>
      </w:pPr>
    </w:p>
    <w:p w14:paraId="729F340E" w14:textId="77777777" w:rsidR="00495AEF" w:rsidRPr="001C6B34" w:rsidRDefault="00495AEF" w:rsidP="00495AEF">
      <w:pPr>
        <w:rPr>
          <w:rFonts w:eastAsia="Arial" w:cs="Arial"/>
          <w:b/>
        </w:rPr>
      </w:pPr>
      <w:r w:rsidRPr="001C6B34">
        <w:t xml:space="preserve">Please send completed form to: </w:t>
      </w:r>
      <w:hyperlink r:id="rId11">
        <w:r w:rsidRPr="001C6B34">
          <w:t>box.xoserve.portfoliooffice@xoserve.com</w:t>
        </w:r>
      </w:hyperlink>
    </w:p>
    <w:p w14:paraId="609CE65C" w14:textId="77777777" w:rsidR="00495AEF" w:rsidRPr="001C6B34" w:rsidRDefault="00495AEF" w:rsidP="00495AEF"/>
    <w:p w14:paraId="7E3E3933" w14:textId="77777777" w:rsidR="00495AEF" w:rsidRPr="001C6B34" w:rsidRDefault="00495AEF" w:rsidP="00495AEF"/>
    <w:p w14:paraId="7FB2BF66" w14:textId="77777777" w:rsidR="00495AEF" w:rsidRDefault="00495AEF" w:rsidP="00495AEF">
      <w:pPr>
        <w:pStyle w:val="Heading1"/>
        <w:spacing w:line="259" w:lineRule="auto"/>
        <w:rPr>
          <w:rFonts w:eastAsia="Century Gothic" w:cs="Century Gothic"/>
        </w:rPr>
      </w:pPr>
      <w:r w:rsidRPr="1D1219FE">
        <w:rPr>
          <w:rFonts w:eastAsia="Century Gothic" w:cs="Century Gothic"/>
        </w:rPr>
        <w:t>Version Control</w:t>
      </w:r>
    </w:p>
    <w:p w14:paraId="0765A884" w14:textId="77777777" w:rsidR="00495AEF" w:rsidRDefault="00495AEF" w:rsidP="00495AEF">
      <w:pPr>
        <w:rPr>
          <w:rFonts w:eastAsia="Century Gothic" w:cs="Century Gothic"/>
        </w:rPr>
      </w:pPr>
    </w:p>
    <w:p w14:paraId="61FE7830" w14:textId="77777777" w:rsidR="00495AEF" w:rsidRDefault="00495AEF" w:rsidP="00495AEF">
      <w:r w:rsidRPr="003B3665">
        <w:t>Document </w:t>
      </w:r>
    </w:p>
    <w:p w14:paraId="7A55B807" w14:textId="77777777" w:rsidR="00495AEF" w:rsidRPr="003B3665" w:rsidRDefault="00495AEF" w:rsidP="00495AE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15"/>
        <w:gridCol w:w="1785"/>
        <w:gridCol w:w="1950"/>
        <w:gridCol w:w="1575"/>
      </w:tblGrid>
      <w:tr w:rsidR="00495AEF" w:rsidRPr="003B3665" w14:paraId="53F2C23B" w14:textId="77777777" w:rsidTr="004A66EA">
        <w:trPr>
          <w:trHeight w:val="300"/>
        </w:trPr>
        <w:tc>
          <w:tcPr>
            <w:tcW w:w="1860" w:type="dxa"/>
            <w:tcBorders>
              <w:top w:val="single" w:sz="6" w:space="0" w:color="212133"/>
              <w:left w:val="single" w:sz="6" w:space="0" w:color="212133"/>
              <w:bottom w:val="single" w:sz="6" w:space="0" w:color="212133"/>
              <w:right w:val="single" w:sz="4" w:space="0" w:color="FFFFFF"/>
            </w:tcBorders>
            <w:shd w:val="clear" w:color="auto" w:fill="212133" w:themeFill="text1"/>
            <w:vAlign w:val="center"/>
            <w:hideMark/>
          </w:tcPr>
          <w:p w14:paraId="4581E8A4" w14:textId="77777777" w:rsidR="00495AEF" w:rsidRPr="00CC6A74" w:rsidRDefault="00495AEF" w:rsidP="004A66EA">
            <w:pPr>
              <w:rPr>
                <w:color w:val="F5F7FF" w:themeColor="background1"/>
              </w:rPr>
            </w:pPr>
            <w:r w:rsidRPr="00CC6A74">
              <w:rPr>
                <w:color w:val="F5F7FF" w:themeColor="background1"/>
              </w:rPr>
              <w:t>Version </w:t>
            </w:r>
          </w:p>
        </w:tc>
        <w:tc>
          <w:tcPr>
            <w:tcW w:w="1815" w:type="dxa"/>
            <w:tcBorders>
              <w:top w:val="single" w:sz="6" w:space="0" w:color="212133"/>
              <w:left w:val="single" w:sz="4" w:space="0" w:color="FFFFFF"/>
              <w:bottom w:val="single" w:sz="6" w:space="0" w:color="212133"/>
              <w:right w:val="single" w:sz="4" w:space="0" w:color="FFFFFF"/>
            </w:tcBorders>
            <w:shd w:val="clear" w:color="auto" w:fill="212133" w:themeFill="text1"/>
            <w:vAlign w:val="center"/>
            <w:hideMark/>
          </w:tcPr>
          <w:p w14:paraId="23C6BE69" w14:textId="77777777" w:rsidR="00495AEF" w:rsidRPr="00CC6A74" w:rsidRDefault="00495AEF" w:rsidP="004A66EA">
            <w:pPr>
              <w:rPr>
                <w:color w:val="F5F7FF" w:themeColor="background1"/>
              </w:rPr>
            </w:pPr>
            <w:r w:rsidRPr="00CC6A74">
              <w:rPr>
                <w:color w:val="F5F7FF" w:themeColor="background1"/>
              </w:rPr>
              <w:t> </w:t>
            </w:r>
          </w:p>
          <w:p w14:paraId="1A838C07" w14:textId="77777777" w:rsidR="00495AEF" w:rsidRPr="00CC6A74" w:rsidRDefault="00495AEF" w:rsidP="004A66EA">
            <w:pPr>
              <w:rPr>
                <w:color w:val="F5F7FF" w:themeColor="background1"/>
              </w:rPr>
            </w:pPr>
            <w:r w:rsidRPr="00CC6A74">
              <w:rPr>
                <w:color w:val="F5F7FF" w:themeColor="background1"/>
              </w:rPr>
              <w:t>Status </w:t>
            </w:r>
          </w:p>
          <w:p w14:paraId="439F9FC4" w14:textId="77777777" w:rsidR="00495AEF" w:rsidRPr="00CC6A74" w:rsidRDefault="00495AEF" w:rsidP="004A66EA">
            <w:pPr>
              <w:rPr>
                <w:color w:val="F5F7FF" w:themeColor="background1"/>
              </w:rPr>
            </w:pPr>
            <w:r w:rsidRPr="00CC6A74">
              <w:rPr>
                <w:color w:val="F5F7FF" w:themeColor="background1"/>
              </w:rPr>
              <w:t> </w:t>
            </w:r>
          </w:p>
        </w:tc>
        <w:tc>
          <w:tcPr>
            <w:tcW w:w="1785" w:type="dxa"/>
            <w:tcBorders>
              <w:top w:val="single" w:sz="6" w:space="0" w:color="212133"/>
              <w:left w:val="single" w:sz="4" w:space="0" w:color="FFFFFF"/>
              <w:bottom w:val="single" w:sz="6" w:space="0" w:color="212133"/>
              <w:right w:val="single" w:sz="4" w:space="0" w:color="FFFFFF"/>
            </w:tcBorders>
            <w:shd w:val="clear" w:color="auto" w:fill="212133" w:themeFill="text1"/>
            <w:vAlign w:val="center"/>
            <w:hideMark/>
          </w:tcPr>
          <w:p w14:paraId="5DC0F705" w14:textId="77777777" w:rsidR="00495AEF" w:rsidRPr="00CC6A74" w:rsidRDefault="00495AEF" w:rsidP="004A66EA">
            <w:pPr>
              <w:rPr>
                <w:color w:val="F5F7FF" w:themeColor="background1"/>
              </w:rPr>
            </w:pPr>
            <w:r w:rsidRPr="00CC6A74">
              <w:rPr>
                <w:color w:val="F5F7FF" w:themeColor="background1"/>
              </w:rPr>
              <w:t>Date </w:t>
            </w:r>
          </w:p>
        </w:tc>
        <w:tc>
          <w:tcPr>
            <w:tcW w:w="1950" w:type="dxa"/>
            <w:tcBorders>
              <w:top w:val="single" w:sz="6" w:space="0" w:color="212133"/>
              <w:left w:val="single" w:sz="4" w:space="0" w:color="FFFFFF"/>
              <w:bottom w:val="single" w:sz="6" w:space="0" w:color="212133"/>
              <w:right w:val="single" w:sz="4" w:space="0" w:color="FFFFFF"/>
            </w:tcBorders>
            <w:shd w:val="clear" w:color="auto" w:fill="212133" w:themeFill="text1"/>
            <w:vAlign w:val="center"/>
            <w:hideMark/>
          </w:tcPr>
          <w:p w14:paraId="4ED16C55" w14:textId="77777777" w:rsidR="00495AEF" w:rsidRPr="00CC6A74" w:rsidRDefault="00495AEF" w:rsidP="004A66EA">
            <w:pPr>
              <w:rPr>
                <w:color w:val="F5F7FF" w:themeColor="background1"/>
              </w:rPr>
            </w:pPr>
            <w:r w:rsidRPr="00CC6A74">
              <w:rPr>
                <w:color w:val="F5F7FF" w:themeColor="background1"/>
              </w:rPr>
              <w:t>Author(s) </w:t>
            </w:r>
          </w:p>
        </w:tc>
        <w:tc>
          <w:tcPr>
            <w:tcW w:w="1575" w:type="dxa"/>
            <w:tcBorders>
              <w:top w:val="single" w:sz="6" w:space="0" w:color="212133"/>
              <w:left w:val="single" w:sz="4" w:space="0" w:color="FFFFFF"/>
              <w:bottom w:val="single" w:sz="6" w:space="0" w:color="212133"/>
              <w:right w:val="single" w:sz="6" w:space="0" w:color="212133"/>
            </w:tcBorders>
            <w:shd w:val="clear" w:color="auto" w:fill="212133" w:themeFill="text1"/>
            <w:vAlign w:val="center"/>
            <w:hideMark/>
          </w:tcPr>
          <w:p w14:paraId="5335D9D6" w14:textId="77777777" w:rsidR="00495AEF" w:rsidRPr="00CC6A74" w:rsidRDefault="00495AEF" w:rsidP="004A66EA">
            <w:pPr>
              <w:rPr>
                <w:color w:val="F5F7FF" w:themeColor="background1"/>
              </w:rPr>
            </w:pPr>
            <w:r w:rsidRPr="00CC6A74">
              <w:rPr>
                <w:color w:val="F5F7FF" w:themeColor="background1"/>
              </w:rPr>
              <w:t>Remarks </w:t>
            </w:r>
          </w:p>
        </w:tc>
      </w:tr>
      <w:tr w:rsidR="00495AEF" w:rsidRPr="003B3665" w14:paraId="78326A31" w14:textId="77777777" w:rsidTr="004A66EA">
        <w:trPr>
          <w:trHeight w:val="300"/>
        </w:trPr>
        <w:tc>
          <w:tcPr>
            <w:tcW w:w="1860" w:type="dxa"/>
            <w:tcBorders>
              <w:top w:val="single" w:sz="6" w:space="0" w:color="212133"/>
              <w:left w:val="single" w:sz="6" w:space="0" w:color="212133"/>
              <w:bottom w:val="single" w:sz="6" w:space="0" w:color="212133"/>
              <w:right w:val="single" w:sz="6" w:space="0" w:color="212133"/>
            </w:tcBorders>
            <w:vAlign w:val="center"/>
            <w:hideMark/>
          </w:tcPr>
          <w:p w14:paraId="231222F5" w14:textId="27A8BBA0" w:rsidR="00495AEF" w:rsidRPr="003B3665" w:rsidRDefault="00495AEF" w:rsidP="004A66EA">
            <w:r w:rsidRPr="003B3665">
              <w:t> </w:t>
            </w:r>
            <w:r w:rsidR="00772ADA">
              <w:t>0.1</w:t>
            </w:r>
          </w:p>
        </w:tc>
        <w:tc>
          <w:tcPr>
            <w:tcW w:w="1815" w:type="dxa"/>
            <w:tcBorders>
              <w:top w:val="single" w:sz="6" w:space="0" w:color="212133"/>
              <w:left w:val="single" w:sz="6" w:space="0" w:color="212133"/>
              <w:bottom w:val="single" w:sz="6" w:space="0" w:color="212133"/>
              <w:right w:val="single" w:sz="6" w:space="0" w:color="212133"/>
            </w:tcBorders>
            <w:hideMark/>
          </w:tcPr>
          <w:p w14:paraId="09D3DC76" w14:textId="5A4B7DF4" w:rsidR="00495AEF" w:rsidRPr="003B3665" w:rsidRDefault="00495AEF" w:rsidP="004A66EA">
            <w:r w:rsidRPr="003B3665">
              <w:t> </w:t>
            </w:r>
            <w:r w:rsidR="00FB05E0">
              <w:t>Draft</w:t>
            </w:r>
          </w:p>
        </w:tc>
        <w:tc>
          <w:tcPr>
            <w:tcW w:w="1785" w:type="dxa"/>
            <w:tcBorders>
              <w:top w:val="single" w:sz="6" w:space="0" w:color="212133"/>
              <w:left w:val="single" w:sz="6" w:space="0" w:color="212133"/>
              <w:bottom w:val="single" w:sz="6" w:space="0" w:color="212133"/>
              <w:right w:val="single" w:sz="6" w:space="0" w:color="212133"/>
            </w:tcBorders>
            <w:hideMark/>
          </w:tcPr>
          <w:p w14:paraId="1FBD4AF9" w14:textId="6C4EEBD6" w:rsidR="00495AEF" w:rsidRPr="003B3665" w:rsidRDefault="00495AEF" w:rsidP="004A66EA">
            <w:r w:rsidRPr="003B3665">
              <w:t> </w:t>
            </w:r>
            <w:r w:rsidR="00E10A1A">
              <w:t>19/08/</w:t>
            </w:r>
            <w:r w:rsidR="00D6740C">
              <w:t>2025</w:t>
            </w:r>
          </w:p>
        </w:tc>
        <w:tc>
          <w:tcPr>
            <w:tcW w:w="1950" w:type="dxa"/>
            <w:tcBorders>
              <w:top w:val="single" w:sz="6" w:space="0" w:color="212133"/>
              <w:left w:val="single" w:sz="6" w:space="0" w:color="212133"/>
              <w:bottom w:val="single" w:sz="6" w:space="0" w:color="212133"/>
              <w:right w:val="single" w:sz="6" w:space="0" w:color="212133"/>
            </w:tcBorders>
            <w:hideMark/>
          </w:tcPr>
          <w:p w14:paraId="3BF1FD76" w14:textId="5A963054" w:rsidR="00495AEF" w:rsidRPr="003B3665" w:rsidRDefault="00495AEF" w:rsidP="004A66EA">
            <w:r w:rsidRPr="003B3665">
              <w:t> </w:t>
            </w:r>
            <w:r w:rsidR="00D6740C">
              <w:t>Ilaria Akintoye</w:t>
            </w:r>
          </w:p>
        </w:tc>
        <w:tc>
          <w:tcPr>
            <w:tcW w:w="1575" w:type="dxa"/>
            <w:tcBorders>
              <w:top w:val="single" w:sz="6" w:space="0" w:color="212133"/>
              <w:left w:val="single" w:sz="6" w:space="0" w:color="212133"/>
              <w:bottom w:val="single" w:sz="6" w:space="0" w:color="212133"/>
              <w:right w:val="single" w:sz="6" w:space="0" w:color="212133"/>
            </w:tcBorders>
            <w:hideMark/>
          </w:tcPr>
          <w:p w14:paraId="4D956AE3" w14:textId="2E3B9E9E" w:rsidR="00495AEF" w:rsidRPr="003B3665" w:rsidRDefault="00495AEF" w:rsidP="004A66EA">
            <w:r w:rsidRPr="003B3665">
              <w:t> </w:t>
            </w:r>
            <w:r w:rsidR="006E3846">
              <w:t>Draft CCR</w:t>
            </w:r>
          </w:p>
        </w:tc>
      </w:tr>
      <w:tr w:rsidR="00495AEF" w:rsidRPr="003B3665" w14:paraId="0B7892FE" w14:textId="77777777" w:rsidTr="004A66EA">
        <w:trPr>
          <w:trHeight w:val="300"/>
        </w:trPr>
        <w:tc>
          <w:tcPr>
            <w:tcW w:w="1860" w:type="dxa"/>
            <w:tcBorders>
              <w:top w:val="single" w:sz="6" w:space="0" w:color="212133"/>
              <w:left w:val="single" w:sz="6" w:space="0" w:color="212133"/>
              <w:bottom w:val="single" w:sz="6" w:space="0" w:color="212133"/>
              <w:right w:val="single" w:sz="6" w:space="0" w:color="212133"/>
            </w:tcBorders>
            <w:vAlign w:val="center"/>
            <w:hideMark/>
          </w:tcPr>
          <w:p w14:paraId="4120D0F0" w14:textId="2DF6E296" w:rsidR="00495AEF" w:rsidRPr="003B3665" w:rsidRDefault="00495AEF" w:rsidP="004A66EA">
            <w:r w:rsidRPr="003B3665">
              <w:t> </w:t>
            </w:r>
            <w:r w:rsidR="00790373">
              <w:t>1.0</w:t>
            </w:r>
          </w:p>
        </w:tc>
        <w:tc>
          <w:tcPr>
            <w:tcW w:w="1815" w:type="dxa"/>
            <w:tcBorders>
              <w:top w:val="single" w:sz="6" w:space="0" w:color="212133"/>
              <w:left w:val="single" w:sz="6" w:space="0" w:color="212133"/>
              <w:bottom w:val="single" w:sz="6" w:space="0" w:color="212133"/>
              <w:right w:val="single" w:sz="6" w:space="0" w:color="212133"/>
            </w:tcBorders>
            <w:hideMark/>
          </w:tcPr>
          <w:p w14:paraId="22FC59D6" w14:textId="02725548" w:rsidR="00495AEF" w:rsidRPr="003B3665" w:rsidRDefault="00495AEF" w:rsidP="004A66EA">
            <w:r w:rsidRPr="003B3665">
              <w:t> </w:t>
            </w:r>
            <w:r w:rsidR="00790373">
              <w:t>Approved</w:t>
            </w:r>
          </w:p>
        </w:tc>
        <w:tc>
          <w:tcPr>
            <w:tcW w:w="1785" w:type="dxa"/>
            <w:tcBorders>
              <w:top w:val="single" w:sz="6" w:space="0" w:color="212133"/>
              <w:left w:val="single" w:sz="6" w:space="0" w:color="212133"/>
              <w:bottom w:val="single" w:sz="6" w:space="0" w:color="212133"/>
              <w:right w:val="single" w:sz="6" w:space="0" w:color="212133"/>
            </w:tcBorders>
            <w:hideMark/>
          </w:tcPr>
          <w:p w14:paraId="460F27A1" w14:textId="0EA03198" w:rsidR="00495AEF" w:rsidRPr="003B3665" w:rsidRDefault="00495AEF" w:rsidP="004A66EA">
            <w:r w:rsidRPr="003B3665">
              <w:t> </w:t>
            </w:r>
            <w:r w:rsidR="00790373">
              <w:t>21/08/2025</w:t>
            </w:r>
          </w:p>
        </w:tc>
        <w:tc>
          <w:tcPr>
            <w:tcW w:w="1950" w:type="dxa"/>
            <w:tcBorders>
              <w:top w:val="single" w:sz="6" w:space="0" w:color="212133"/>
              <w:left w:val="single" w:sz="6" w:space="0" w:color="212133"/>
              <w:bottom w:val="single" w:sz="6" w:space="0" w:color="212133"/>
              <w:right w:val="single" w:sz="6" w:space="0" w:color="212133"/>
            </w:tcBorders>
            <w:hideMark/>
          </w:tcPr>
          <w:p w14:paraId="4E7030DE" w14:textId="539D6687" w:rsidR="00495AEF" w:rsidRPr="003B3665" w:rsidRDefault="00790373" w:rsidP="004A66EA">
            <w:r>
              <w:t>Ilaria Akintoye</w:t>
            </w:r>
            <w:r w:rsidR="00495AEF" w:rsidRPr="003B3665">
              <w:t> </w:t>
            </w:r>
          </w:p>
        </w:tc>
        <w:tc>
          <w:tcPr>
            <w:tcW w:w="1575" w:type="dxa"/>
            <w:tcBorders>
              <w:top w:val="single" w:sz="6" w:space="0" w:color="212133"/>
              <w:left w:val="single" w:sz="6" w:space="0" w:color="212133"/>
              <w:bottom w:val="single" w:sz="6" w:space="0" w:color="212133"/>
              <w:right w:val="single" w:sz="6" w:space="0" w:color="212133"/>
            </w:tcBorders>
            <w:hideMark/>
          </w:tcPr>
          <w:p w14:paraId="410F8546" w14:textId="5C73CB38" w:rsidR="00495AEF" w:rsidRPr="003B3665" w:rsidRDefault="00790373" w:rsidP="004A66EA">
            <w:r>
              <w:t>Presented and approved by Xoserve (Ceri Jones/ Paul Orsler</w:t>
            </w:r>
            <w:r w:rsidR="00324765">
              <w:t xml:space="preserve">) </w:t>
            </w:r>
          </w:p>
        </w:tc>
      </w:tr>
    </w:tbl>
    <w:p w14:paraId="7A292319" w14:textId="09C2AB77" w:rsidR="00495AEF" w:rsidRDefault="00495AEF" w:rsidP="00495AEF">
      <w:r w:rsidRPr="003B3665">
        <w:t> </w:t>
      </w:r>
    </w:p>
    <w:sectPr w:rsidR="00495AE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1D335" w14:textId="77777777" w:rsidR="004218F4" w:rsidRDefault="004218F4" w:rsidP="00681903">
      <w:r>
        <w:separator/>
      </w:r>
    </w:p>
  </w:endnote>
  <w:endnote w:type="continuationSeparator" w:id="0">
    <w:p w14:paraId="0EECEE51" w14:textId="77777777" w:rsidR="004218F4" w:rsidRDefault="004218F4" w:rsidP="0068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7435" w14:textId="011F4704" w:rsidR="00EE22C0" w:rsidRDefault="00533722">
    <w:pPr>
      <w:pStyle w:val="Footer"/>
    </w:pPr>
    <w:r>
      <w:rPr>
        <w:noProof/>
      </w:rPr>
      <w:drawing>
        <wp:anchor distT="0" distB="0" distL="114300" distR="114300" simplePos="0" relativeHeight="251658241" behindDoc="1" locked="0" layoutInCell="1" allowOverlap="1" wp14:anchorId="27F41934" wp14:editId="121095F8">
          <wp:simplePos x="0" y="0"/>
          <wp:positionH relativeFrom="column">
            <wp:posOffset>-914400</wp:posOffset>
          </wp:positionH>
          <wp:positionV relativeFrom="paragraph">
            <wp:posOffset>-107464</wp:posOffset>
          </wp:positionV>
          <wp:extent cx="7543800" cy="722119"/>
          <wp:effectExtent l="0" t="0" r="0" b="1905"/>
          <wp:wrapNone/>
          <wp:docPr id="955102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02543" name="Picture 955102543"/>
                  <pic:cNvPicPr/>
                </pic:nvPicPr>
                <pic:blipFill>
                  <a:blip r:embed="rId1">
                    <a:extLst>
                      <a:ext uri="{28A0092B-C50C-407E-A947-70E740481C1C}">
                        <a14:useLocalDpi xmlns:a14="http://schemas.microsoft.com/office/drawing/2010/main" val="0"/>
                      </a:ext>
                    </a:extLst>
                  </a:blip>
                  <a:stretch>
                    <a:fillRect/>
                  </a:stretch>
                </pic:blipFill>
                <pic:spPr>
                  <a:xfrm>
                    <a:off x="0" y="0"/>
                    <a:ext cx="7765194" cy="7433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BDE8" w14:textId="77777777" w:rsidR="004218F4" w:rsidRDefault="004218F4" w:rsidP="00681903">
      <w:r>
        <w:separator/>
      </w:r>
    </w:p>
  </w:footnote>
  <w:footnote w:type="continuationSeparator" w:id="0">
    <w:p w14:paraId="7088579A" w14:textId="77777777" w:rsidR="004218F4" w:rsidRDefault="004218F4" w:rsidP="0068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D302" w14:textId="1C5D2E0B" w:rsidR="005E7187" w:rsidRDefault="00145A98" w:rsidP="00681903">
    <w:pPr>
      <w:pStyle w:val="Header"/>
    </w:pPr>
    <w:r>
      <w:rPr>
        <w:noProof/>
      </w:rPr>
      <w:drawing>
        <wp:anchor distT="0" distB="0" distL="114300" distR="114300" simplePos="0" relativeHeight="251658240" behindDoc="1" locked="0" layoutInCell="1" allowOverlap="1" wp14:anchorId="3DBC23A1" wp14:editId="46DCA1C2">
          <wp:simplePos x="0" y="0"/>
          <wp:positionH relativeFrom="column">
            <wp:posOffset>-127000</wp:posOffset>
          </wp:positionH>
          <wp:positionV relativeFrom="paragraph">
            <wp:posOffset>118582</wp:posOffset>
          </wp:positionV>
          <wp:extent cx="1756372" cy="292199"/>
          <wp:effectExtent l="0" t="0" r="0" b="0"/>
          <wp:wrapNone/>
          <wp:docPr id="576235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3576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6372" cy="2921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E2823"/>
    <w:multiLevelType w:val="hybridMultilevel"/>
    <w:tmpl w:val="AB02087C"/>
    <w:lvl w:ilvl="0" w:tplc="377AB00C">
      <w:start w:val="1"/>
      <w:numFmt w:val="bullet"/>
      <w:lvlText w:val=""/>
      <w:lvlJc w:val="left"/>
      <w:pPr>
        <w:ind w:left="720" w:hanging="360"/>
      </w:pPr>
      <w:rPr>
        <w:rFonts w:ascii="Symbol" w:hAnsi="Symbol" w:hint="default"/>
        <w:color w:val="212133"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2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37"/>
    <w:rsid w:val="00010B28"/>
    <w:rsid w:val="00034520"/>
    <w:rsid w:val="000444A5"/>
    <w:rsid w:val="0004680D"/>
    <w:rsid w:val="00067EEA"/>
    <w:rsid w:val="0009692E"/>
    <w:rsid w:val="000C0CFE"/>
    <w:rsid w:val="000E61B4"/>
    <w:rsid w:val="000E79DA"/>
    <w:rsid w:val="00115963"/>
    <w:rsid w:val="00145A98"/>
    <w:rsid w:val="001517B4"/>
    <w:rsid w:val="001743E0"/>
    <w:rsid w:val="00177A4C"/>
    <w:rsid w:val="001850A3"/>
    <w:rsid w:val="001D3201"/>
    <w:rsid w:val="001F028B"/>
    <w:rsid w:val="002702D5"/>
    <w:rsid w:val="0028255A"/>
    <w:rsid w:val="002912C3"/>
    <w:rsid w:val="00297E78"/>
    <w:rsid w:val="002E5B0D"/>
    <w:rsid w:val="00324765"/>
    <w:rsid w:val="003354E6"/>
    <w:rsid w:val="00343909"/>
    <w:rsid w:val="00362F66"/>
    <w:rsid w:val="00392C41"/>
    <w:rsid w:val="003B705E"/>
    <w:rsid w:val="003C3A1B"/>
    <w:rsid w:val="003E1426"/>
    <w:rsid w:val="003F1860"/>
    <w:rsid w:val="003F5AD0"/>
    <w:rsid w:val="00416916"/>
    <w:rsid w:val="004218F4"/>
    <w:rsid w:val="00442160"/>
    <w:rsid w:val="00483AF3"/>
    <w:rsid w:val="00495AEF"/>
    <w:rsid w:val="004A137D"/>
    <w:rsid w:val="004A2034"/>
    <w:rsid w:val="004A2620"/>
    <w:rsid w:val="004A66EA"/>
    <w:rsid w:val="004E71BC"/>
    <w:rsid w:val="00533722"/>
    <w:rsid w:val="00560083"/>
    <w:rsid w:val="005612D5"/>
    <w:rsid w:val="00566ADD"/>
    <w:rsid w:val="005A3AB9"/>
    <w:rsid w:val="005B323E"/>
    <w:rsid w:val="005C4E32"/>
    <w:rsid w:val="005E7187"/>
    <w:rsid w:val="005F10A6"/>
    <w:rsid w:val="006029A8"/>
    <w:rsid w:val="0062094A"/>
    <w:rsid w:val="00621CA2"/>
    <w:rsid w:val="0064459C"/>
    <w:rsid w:val="00681279"/>
    <w:rsid w:val="00681903"/>
    <w:rsid w:val="00684E04"/>
    <w:rsid w:val="006E3846"/>
    <w:rsid w:val="007067BD"/>
    <w:rsid w:val="007309BF"/>
    <w:rsid w:val="00732093"/>
    <w:rsid w:val="00745E70"/>
    <w:rsid w:val="00752029"/>
    <w:rsid w:val="00772ADA"/>
    <w:rsid w:val="00790373"/>
    <w:rsid w:val="007B00B3"/>
    <w:rsid w:val="007D06C1"/>
    <w:rsid w:val="007E7243"/>
    <w:rsid w:val="00812395"/>
    <w:rsid w:val="008429EE"/>
    <w:rsid w:val="008E366A"/>
    <w:rsid w:val="00993B81"/>
    <w:rsid w:val="009A0F80"/>
    <w:rsid w:val="009E0537"/>
    <w:rsid w:val="00A10C61"/>
    <w:rsid w:val="00A358D8"/>
    <w:rsid w:val="00A530AB"/>
    <w:rsid w:val="00A57673"/>
    <w:rsid w:val="00A7179D"/>
    <w:rsid w:val="00AC51AF"/>
    <w:rsid w:val="00AE19F2"/>
    <w:rsid w:val="00B0534F"/>
    <w:rsid w:val="00B27804"/>
    <w:rsid w:val="00B47F6D"/>
    <w:rsid w:val="00B63488"/>
    <w:rsid w:val="00B65E59"/>
    <w:rsid w:val="00B95AA0"/>
    <w:rsid w:val="00C37FA6"/>
    <w:rsid w:val="00CC639C"/>
    <w:rsid w:val="00CD399B"/>
    <w:rsid w:val="00CF55E8"/>
    <w:rsid w:val="00D051CA"/>
    <w:rsid w:val="00D66EB5"/>
    <w:rsid w:val="00D6740C"/>
    <w:rsid w:val="00D824CF"/>
    <w:rsid w:val="00D82D2B"/>
    <w:rsid w:val="00DB461F"/>
    <w:rsid w:val="00DE3A9D"/>
    <w:rsid w:val="00DE4418"/>
    <w:rsid w:val="00E00F42"/>
    <w:rsid w:val="00E10A1A"/>
    <w:rsid w:val="00E213E6"/>
    <w:rsid w:val="00E21DF9"/>
    <w:rsid w:val="00E30B06"/>
    <w:rsid w:val="00E8498C"/>
    <w:rsid w:val="00EA3BA1"/>
    <w:rsid w:val="00EA5A7C"/>
    <w:rsid w:val="00EA5C3F"/>
    <w:rsid w:val="00EB7CF0"/>
    <w:rsid w:val="00EE22C0"/>
    <w:rsid w:val="00EF77B5"/>
    <w:rsid w:val="00F0324F"/>
    <w:rsid w:val="00F03A58"/>
    <w:rsid w:val="00FB05E0"/>
    <w:rsid w:val="00FC2D85"/>
    <w:rsid w:val="00FF01B1"/>
    <w:rsid w:val="193EF79A"/>
    <w:rsid w:val="331D8305"/>
    <w:rsid w:val="45705B47"/>
    <w:rsid w:val="5C8C0C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007EB"/>
  <w15:chartTrackingRefBased/>
  <w15:docId w15:val="{FF6F32CF-67A6-4483-B32A-0F9E4B3A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Body Copy"/>
    <w:qFormat/>
    <w:rsid w:val="00681903"/>
    <w:rPr>
      <w:rFonts w:ascii="Century Gothic" w:hAnsi="Century Gothic"/>
      <w:color w:val="222233"/>
    </w:rPr>
  </w:style>
  <w:style w:type="paragraph" w:styleId="Heading1">
    <w:name w:val="heading 1"/>
    <w:aliases w:val="Xo Heading 1"/>
    <w:basedOn w:val="Normal"/>
    <w:next w:val="Normal"/>
    <w:link w:val="Heading1Char"/>
    <w:uiPriority w:val="9"/>
    <w:qFormat/>
    <w:rsid w:val="00EA5A7C"/>
    <w:pPr>
      <w:keepNext/>
      <w:keepLines/>
      <w:spacing w:before="360" w:after="80"/>
      <w:outlineLvl w:val="0"/>
    </w:pPr>
    <w:rPr>
      <w:rFonts w:eastAsiaTheme="majorEastAsia" w:cstheme="majorBidi"/>
      <w:color w:val="6680FF" w:themeColor="accent2"/>
      <w:sz w:val="40"/>
      <w:szCs w:val="40"/>
    </w:rPr>
  </w:style>
  <w:style w:type="paragraph" w:styleId="Heading2">
    <w:name w:val="heading 2"/>
    <w:aliases w:val="Xo Heading 2"/>
    <w:basedOn w:val="Normal"/>
    <w:next w:val="Normal"/>
    <w:link w:val="Heading2Char"/>
    <w:uiPriority w:val="9"/>
    <w:unhideWhenUsed/>
    <w:qFormat/>
    <w:rsid w:val="00EA5A7C"/>
    <w:pPr>
      <w:keepNext/>
      <w:keepLines/>
      <w:spacing w:before="160" w:after="80"/>
      <w:outlineLvl w:val="1"/>
    </w:pPr>
    <w:rPr>
      <w:rFonts w:eastAsiaTheme="majorEastAsia" w:cstheme="majorBidi"/>
      <w:color w:val="57BAE5" w:themeColor="accent3"/>
      <w:sz w:val="32"/>
      <w:szCs w:val="32"/>
    </w:rPr>
  </w:style>
  <w:style w:type="paragraph" w:styleId="Heading3">
    <w:name w:val="heading 3"/>
    <w:aliases w:val="Xo Heading 3"/>
    <w:basedOn w:val="Normal"/>
    <w:next w:val="Normal"/>
    <w:link w:val="Heading3Char"/>
    <w:uiPriority w:val="9"/>
    <w:unhideWhenUsed/>
    <w:qFormat/>
    <w:rsid w:val="00EA5A7C"/>
    <w:pPr>
      <w:keepNext/>
      <w:keepLines/>
      <w:spacing w:before="160" w:after="80"/>
      <w:outlineLvl w:val="2"/>
    </w:pPr>
    <w:rPr>
      <w:rFonts w:eastAsiaTheme="majorEastAsia" w:cstheme="majorBidi"/>
      <w:color w:val="6680FF" w:themeColor="accent2"/>
      <w:sz w:val="28"/>
      <w:szCs w:val="28"/>
    </w:rPr>
  </w:style>
  <w:style w:type="paragraph" w:styleId="Heading4">
    <w:name w:val="heading 4"/>
    <w:basedOn w:val="Normal"/>
    <w:next w:val="Normal"/>
    <w:link w:val="Heading4Char"/>
    <w:uiPriority w:val="9"/>
    <w:semiHidden/>
    <w:unhideWhenUsed/>
    <w:rsid w:val="00C37FA6"/>
    <w:pPr>
      <w:keepNext/>
      <w:keepLines/>
      <w:spacing w:before="80" w:after="40"/>
      <w:outlineLvl w:val="3"/>
    </w:pPr>
    <w:rPr>
      <w:rFonts w:eastAsiaTheme="majorEastAsia" w:cstheme="majorBidi"/>
      <w:i/>
      <w:iCs/>
      <w:color w:val="1A04ED" w:themeColor="accent1" w:themeShade="BF"/>
    </w:rPr>
  </w:style>
  <w:style w:type="paragraph" w:styleId="Heading5">
    <w:name w:val="heading 5"/>
    <w:basedOn w:val="Normal"/>
    <w:next w:val="Normal"/>
    <w:link w:val="Heading5Char"/>
    <w:uiPriority w:val="9"/>
    <w:semiHidden/>
    <w:unhideWhenUsed/>
    <w:qFormat/>
    <w:rsid w:val="00C37FA6"/>
    <w:pPr>
      <w:keepNext/>
      <w:keepLines/>
      <w:spacing w:before="80" w:after="40"/>
      <w:outlineLvl w:val="4"/>
    </w:pPr>
    <w:rPr>
      <w:rFonts w:eastAsiaTheme="majorEastAsia" w:cstheme="majorBidi"/>
      <w:color w:val="1A04ED" w:themeColor="accent1" w:themeShade="BF"/>
    </w:rPr>
  </w:style>
  <w:style w:type="paragraph" w:styleId="Heading6">
    <w:name w:val="heading 6"/>
    <w:basedOn w:val="Normal"/>
    <w:next w:val="Normal"/>
    <w:link w:val="Heading6Char"/>
    <w:uiPriority w:val="9"/>
    <w:semiHidden/>
    <w:unhideWhenUsed/>
    <w:qFormat/>
    <w:rsid w:val="00C37FA6"/>
    <w:pPr>
      <w:keepNext/>
      <w:keepLines/>
      <w:spacing w:before="40"/>
      <w:outlineLvl w:val="5"/>
    </w:pPr>
    <w:rPr>
      <w:rFonts w:eastAsiaTheme="majorEastAsia" w:cstheme="majorBidi"/>
      <w:i/>
      <w:iCs/>
      <w:color w:val="5B5B8D" w:themeColor="text1" w:themeTint="A6"/>
    </w:rPr>
  </w:style>
  <w:style w:type="paragraph" w:styleId="Heading7">
    <w:name w:val="heading 7"/>
    <w:basedOn w:val="Normal"/>
    <w:next w:val="Normal"/>
    <w:link w:val="Heading7Char"/>
    <w:uiPriority w:val="9"/>
    <w:semiHidden/>
    <w:unhideWhenUsed/>
    <w:qFormat/>
    <w:rsid w:val="00C37FA6"/>
    <w:pPr>
      <w:keepNext/>
      <w:keepLines/>
      <w:spacing w:before="40"/>
      <w:outlineLvl w:val="6"/>
    </w:pPr>
    <w:rPr>
      <w:rFonts w:eastAsiaTheme="majorEastAsia" w:cstheme="majorBidi"/>
      <w:color w:val="5B5B8D" w:themeColor="text1" w:themeTint="A6"/>
    </w:rPr>
  </w:style>
  <w:style w:type="paragraph" w:styleId="Heading8">
    <w:name w:val="heading 8"/>
    <w:basedOn w:val="Normal"/>
    <w:next w:val="Normal"/>
    <w:link w:val="Heading8Char"/>
    <w:uiPriority w:val="9"/>
    <w:semiHidden/>
    <w:unhideWhenUsed/>
    <w:qFormat/>
    <w:rsid w:val="00C37FA6"/>
    <w:pPr>
      <w:keepNext/>
      <w:keepLines/>
      <w:outlineLvl w:val="7"/>
    </w:pPr>
    <w:rPr>
      <w:rFonts w:eastAsiaTheme="majorEastAsia" w:cstheme="majorBidi"/>
      <w:i/>
      <w:iCs/>
      <w:color w:val="3A3A5A" w:themeColor="text1" w:themeTint="D8"/>
    </w:rPr>
  </w:style>
  <w:style w:type="paragraph" w:styleId="Heading9">
    <w:name w:val="heading 9"/>
    <w:basedOn w:val="Normal"/>
    <w:next w:val="Normal"/>
    <w:link w:val="Heading9Char"/>
    <w:uiPriority w:val="9"/>
    <w:semiHidden/>
    <w:unhideWhenUsed/>
    <w:qFormat/>
    <w:rsid w:val="00C37FA6"/>
    <w:pPr>
      <w:keepNext/>
      <w:keepLines/>
      <w:outlineLvl w:val="8"/>
    </w:pPr>
    <w:rPr>
      <w:rFonts w:eastAsiaTheme="majorEastAsia" w:cstheme="majorBidi"/>
      <w:color w:val="3A3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o Heading 1 Char"/>
    <w:basedOn w:val="DefaultParagraphFont"/>
    <w:link w:val="Heading1"/>
    <w:uiPriority w:val="9"/>
    <w:rsid w:val="00EA5A7C"/>
    <w:rPr>
      <w:rFonts w:ascii="Century Gothic" w:eastAsiaTheme="majorEastAsia" w:hAnsi="Century Gothic" w:cstheme="majorBidi"/>
      <w:color w:val="6680FF" w:themeColor="accent2"/>
      <w:sz w:val="40"/>
      <w:szCs w:val="40"/>
    </w:rPr>
  </w:style>
  <w:style w:type="character" w:customStyle="1" w:styleId="Heading2Char">
    <w:name w:val="Heading 2 Char"/>
    <w:aliases w:val="Xo Heading 2 Char"/>
    <w:basedOn w:val="DefaultParagraphFont"/>
    <w:link w:val="Heading2"/>
    <w:uiPriority w:val="9"/>
    <w:rsid w:val="00EA5A7C"/>
    <w:rPr>
      <w:rFonts w:ascii="Century Gothic" w:eastAsiaTheme="majorEastAsia" w:hAnsi="Century Gothic" w:cstheme="majorBidi"/>
      <w:color w:val="57BAE5" w:themeColor="accent3"/>
      <w:sz w:val="32"/>
      <w:szCs w:val="32"/>
    </w:rPr>
  </w:style>
  <w:style w:type="character" w:customStyle="1" w:styleId="Heading3Char">
    <w:name w:val="Heading 3 Char"/>
    <w:aliases w:val="Xo Heading 3 Char"/>
    <w:basedOn w:val="DefaultParagraphFont"/>
    <w:link w:val="Heading3"/>
    <w:uiPriority w:val="9"/>
    <w:rsid w:val="00EA5A7C"/>
    <w:rPr>
      <w:rFonts w:ascii="Century Gothic" w:eastAsiaTheme="majorEastAsia" w:hAnsi="Century Gothic" w:cstheme="majorBidi"/>
      <w:color w:val="6680FF" w:themeColor="accent2"/>
      <w:sz w:val="28"/>
      <w:szCs w:val="28"/>
    </w:rPr>
  </w:style>
  <w:style w:type="character" w:customStyle="1" w:styleId="Heading4Char">
    <w:name w:val="Heading 4 Char"/>
    <w:basedOn w:val="DefaultParagraphFont"/>
    <w:link w:val="Heading4"/>
    <w:uiPriority w:val="9"/>
    <w:semiHidden/>
    <w:rsid w:val="00C37FA6"/>
    <w:rPr>
      <w:rFonts w:eastAsiaTheme="majorEastAsia" w:cstheme="majorBidi"/>
      <w:i/>
      <w:iCs/>
      <w:color w:val="1A04ED" w:themeColor="accent1" w:themeShade="BF"/>
    </w:rPr>
  </w:style>
  <w:style w:type="character" w:customStyle="1" w:styleId="Heading5Char">
    <w:name w:val="Heading 5 Char"/>
    <w:basedOn w:val="DefaultParagraphFont"/>
    <w:link w:val="Heading5"/>
    <w:uiPriority w:val="9"/>
    <w:semiHidden/>
    <w:rsid w:val="00C37FA6"/>
    <w:rPr>
      <w:rFonts w:eastAsiaTheme="majorEastAsia" w:cstheme="majorBidi"/>
      <w:color w:val="1A04ED" w:themeColor="accent1" w:themeShade="BF"/>
    </w:rPr>
  </w:style>
  <w:style w:type="character" w:customStyle="1" w:styleId="Heading6Char">
    <w:name w:val="Heading 6 Char"/>
    <w:basedOn w:val="DefaultParagraphFont"/>
    <w:link w:val="Heading6"/>
    <w:uiPriority w:val="9"/>
    <w:semiHidden/>
    <w:rsid w:val="00C37FA6"/>
    <w:rPr>
      <w:rFonts w:eastAsiaTheme="majorEastAsia" w:cstheme="majorBidi"/>
      <w:i/>
      <w:iCs/>
      <w:color w:val="5B5B8D" w:themeColor="text1" w:themeTint="A6"/>
    </w:rPr>
  </w:style>
  <w:style w:type="character" w:customStyle="1" w:styleId="Heading7Char">
    <w:name w:val="Heading 7 Char"/>
    <w:basedOn w:val="DefaultParagraphFont"/>
    <w:link w:val="Heading7"/>
    <w:uiPriority w:val="9"/>
    <w:semiHidden/>
    <w:rsid w:val="00C37FA6"/>
    <w:rPr>
      <w:rFonts w:eastAsiaTheme="majorEastAsia" w:cstheme="majorBidi"/>
      <w:color w:val="5B5B8D" w:themeColor="text1" w:themeTint="A6"/>
    </w:rPr>
  </w:style>
  <w:style w:type="character" w:customStyle="1" w:styleId="Heading8Char">
    <w:name w:val="Heading 8 Char"/>
    <w:basedOn w:val="DefaultParagraphFont"/>
    <w:link w:val="Heading8"/>
    <w:uiPriority w:val="9"/>
    <w:semiHidden/>
    <w:rsid w:val="00C37FA6"/>
    <w:rPr>
      <w:rFonts w:eastAsiaTheme="majorEastAsia" w:cstheme="majorBidi"/>
      <w:i/>
      <w:iCs/>
      <w:color w:val="3A3A5A" w:themeColor="text1" w:themeTint="D8"/>
    </w:rPr>
  </w:style>
  <w:style w:type="character" w:customStyle="1" w:styleId="Heading9Char">
    <w:name w:val="Heading 9 Char"/>
    <w:basedOn w:val="DefaultParagraphFont"/>
    <w:link w:val="Heading9"/>
    <w:uiPriority w:val="9"/>
    <w:semiHidden/>
    <w:rsid w:val="00C37FA6"/>
    <w:rPr>
      <w:rFonts w:eastAsiaTheme="majorEastAsia" w:cstheme="majorBidi"/>
      <w:color w:val="3A3A5A" w:themeColor="text1" w:themeTint="D8"/>
    </w:rPr>
  </w:style>
  <w:style w:type="paragraph" w:styleId="Title">
    <w:name w:val="Title"/>
    <w:aliases w:val="Xo Title"/>
    <w:basedOn w:val="Normal"/>
    <w:next w:val="Normal"/>
    <w:link w:val="TitleChar"/>
    <w:uiPriority w:val="10"/>
    <w:qFormat/>
    <w:rsid w:val="00C37F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Xo Title Char"/>
    <w:basedOn w:val="DefaultParagraphFont"/>
    <w:link w:val="Title"/>
    <w:uiPriority w:val="10"/>
    <w:rsid w:val="00C37FA6"/>
    <w:rPr>
      <w:rFonts w:asciiTheme="majorHAnsi" w:eastAsiaTheme="majorEastAsia" w:hAnsiTheme="majorHAnsi" w:cstheme="majorBidi"/>
      <w:spacing w:val="-10"/>
      <w:kern w:val="28"/>
      <w:sz w:val="56"/>
      <w:szCs w:val="56"/>
    </w:rPr>
  </w:style>
  <w:style w:type="paragraph" w:styleId="Subtitle">
    <w:name w:val="Subtitle"/>
    <w:aliases w:val="Xo Subtitle"/>
    <w:basedOn w:val="Normal"/>
    <w:next w:val="Normal"/>
    <w:link w:val="SubtitleChar"/>
    <w:uiPriority w:val="11"/>
    <w:qFormat/>
    <w:rsid w:val="00EA5A7C"/>
    <w:pPr>
      <w:numPr>
        <w:ilvl w:val="1"/>
      </w:numPr>
      <w:spacing w:after="160"/>
    </w:pPr>
    <w:rPr>
      <w:rFonts w:eastAsiaTheme="majorEastAsia" w:cstheme="majorBidi"/>
      <w:color w:val="ED45AB" w:themeColor="accent5"/>
      <w:spacing w:val="15"/>
      <w:sz w:val="28"/>
      <w:szCs w:val="28"/>
    </w:rPr>
  </w:style>
  <w:style w:type="character" w:customStyle="1" w:styleId="SubtitleChar">
    <w:name w:val="Subtitle Char"/>
    <w:aliases w:val="Xo Subtitle Char"/>
    <w:basedOn w:val="DefaultParagraphFont"/>
    <w:link w:val="Subtitle"/>
    <w:uiPriority w:val="11"/>
    <w:rsid w:val="00EA5A7C"/>
    <w:rPr>
      <w:rFonts w:ascii="Century Gothic" w:eastAsiaTheme="majorEastAsia" w:hAnsi="Century Gothic" w:cstheme="majorBidi"/>
      <w:color w:val="ED45AB" w:themeColor="accent5"/>
      <w:spacing w:val="15"/>
      <w:sz w:val="28"/>
      <w:szCs w:val="28"/>
    </w:rPr>
  </w:style>
  <w:style w:type="paragraph" w:styleId="Quote">
    <w:name w:val="Quote"/>
    <w:basedOn w:val="Normal"/>
    <w:next w:val="Normal"/>
    <w:link w:val="QuoteChar"/>
    <w:uiPriority w:val="29"/>
    <w:rsid w:val="00C37FA6"/>
    <w:pPr>
      <w:spacing w:before="160" w:after="160"/>
      <w:jc w:val="center"/>
    </w:pPr>
    <w:rPr>
      <w:i/>
      <w:iCs/>
      <w:color w:val="4B4B73" w:themeColor="text1" w:themeTint="BF"/>
    </w:rPr>
  </w:style>
  <w:style w:type="character" w:customStyle="1" w:styleId="QuoteChar">
    <w:name w:val="Quote Char"/>
    <w:basedOn w:val="DefaultParagraphFont"/>
    <w:link w:val="Quote"/>
    <w:uiPriority w:val="29"/>
    <w:rsid w:val="00C37FA6"/>
    <w:rPr>
      <w:i/>
      <w:iCs/>
      <w:color w:val="4B4B73" w:themeColor="text1" w:themeTint="BF"/>
    </w:rPr>
  </w:style>
  <w:style w:type="paragraph" w:styleId="ListParagraph">
    <w:name w:val="List Paragraph"/>
    <w:basedOn w:val="Normal"/>
    <w:uiPriority w:val="34"/>
    <w:rsid w:val="00C37FA6"/>
    <w:pPr>
      <w:ind w:left="720"/>
      <w:contextualSpacing/>
    </w:pPr>
  </w:style>
  <w:style w:type="character" w:styleId="IntenseEmphasis">
    <w:name w:val="Intense Emphasis"/>
    <w:basedOn w:val="DefaultParagraphFont"/>
    <w:uiPriority w:val="21"/>
    <w:rsid w:val="00C37FA6"/>
    <w:rPr>
      <w:i/>
      <w:iCs/>
      <w:color w:val="1A04ED" w:themeColor="accent1" w:themeShade="BF"/>
    </w:rPr>
  </w:style>
  <w:style w:type="paragraph" w:styleId="IntenseQuote">
    <w:name w:val="Intense Quote"/>
    <w:basedOn w:val="Normal"/>
    <w:next w:val="Normal"/>
    <w:link w:val="IntenseQuoteChar"/>
    <w:uiPriority w:val="30"/>
    <w:rsid w:val="00C37FA6"/>
    <w:pPr>
      <w:pBdr>
        <w:top w:val="single" w:sz="4" w:space="10" w:color="1A04ED" w:themeColor="accent1" w:themeShade="BF"/>
        <w:bottom w:val="single" w:sz="4" w:space="10" w:color="1A04ED" w:themeColor="accent1" w:themeShade="BF"/>
      </w:pBdr>
      <w:spacing w:before="360" w:after="360"/>
      <w:ind w:left="864" w:right="864"/>
      <w:jc w:val="center"/>
    </w:pPr>
    <w:rPr>
      <w:i/>
      <w:iCs/>
      <w:color w:val="1A04ED" w:themeColor="accent1" w:themeShade="BF"/>
    </w:rPr>
  </w:style>
  <w:style w:type="character" w:customStyle="1" w:styleId="IntenseQuoteChar">
    <w:name w:val="Intense Quote Char"/>
    <w:basedOn w:val="DefaultParagraphFont"/>
    <w:link w:val="IntenseQuote"/>
    <w:uiPriority w:val="30"/>
    <w:rsid w:val="00C37FA6"/>
    <w:rPr>
      <w:i/>
      <w:iCs/>
      <w:color w:val="1A04ED" w:themeColor="accent1" w:themeShade="BF"/>
    </w:rPr>
  </w:style>
  <w:style w:type="character" w:styleId="IntenseReference">
    <w:name w:val="Intense Reference"/>
    <w:basedOn w:val="DefaultParagraphFont"/>
    <w:uiPriority w:val="32"/>
    <w:rsid w:val="00C37FA6"/>
    <w:rPr>
      <w:b/>
      <w:bCs/>
      <w:smallCaps/>
      <w:color w:val="1A04ED" w:themeColor="accent1" w:themeShade="BF"/>
      <w:spacing w:val="5"/>
    </w:rPr>
  </w:style>
  <w:style w:type="paragraph" w:styleId="Header">
    <w:name w:val="header"/>
    <w:basedOn w:val="Normal"/>
    <w:link w:val="HeaderChar"/>
    <w:uiPriority w:val="99"/>
    <w:unhideWhenUsed/>
    <w:rsid w:val="00C37FA6"/>
    <w:pPr>
      <w:tabs>
        <w:tab w:val="center" w:pos="4513"/>
        <w:tab w:val="right" w:pos="9026"/>
      </w:tabs>
    </w:pPr>
  </w:style>
  <w:style w:type="character" w:customStyle="1" w:styleId="HeaderChar">
    <w:name w:val="Header Char"/>
    <w:basedOn w:val="DefaultParagraphFont"/>
    <w:link w:val="Header"/>
    <w:uiPriority w:val="99"/>
    <w:rsid w:val="00C37FA6"/>
  </w:style>
  <w:style w:type="paragraph" w:styleId="Footer">
    <w:name w:val="footer"/>
    <w:basedOn w:val="Normal"/>
    <w:link w:val="FooterChar"/>
    <w:uiPriority w:val="99"/>
    <w:unhideWhenUsed/>
    <w:rsid w:val="00C37FA6"/>
    <w:pPr>
      <w:tabs>
        <w:tab w:val="center" w:pos="4513"/>
        <w:tab w:val="right" w:pos="9026"/>
      </w:tabs>
    </w:pPr>
  </w:style>
  <w:style w:type="character" w:customStyle="1" w:styleId="FooterChar">
    <w:name w:val="Footer Char"/>
    <w:basedOn w:val="DefaultParagraphFont"/>
    <w:link w:val="Footer"/>
    <w:uiPriority w:val="99"/>
    <w:rsid w:val="00C37FA6"/>
  </w:style>
  <w:style w:type="character" w:styleId="Hyperlink">
    <w:name w:val="Hyperlink"/>
    <w:basedOn w:val="DefaultParagraphFont"/>
    <w:uiPriority w:val="99"/>
    <w:unhideWhenUsed/>
    <w:rsid w:val="00DE4418"/>
    <w:rPr>
      <w:color w:val="5947FC" w:themeColor="hyperlink"/>
      <w:u w:val="single"/>
    </w:rPr>
  </w:style>
  <w:style w:type="paragraph" w:styleId="NoSpacing">
    <w:name w:val="No Spacing"/>
    <w:aliases w:val="Xo Bold Body Copy"/>
    <w:uiPriority w:val="1"/>
    <w:qFormat/>
    <w:rsid w:val="00681903"/>
    <w:rPr>
      <w:rFonts w:ascii="Century Gothic" w:hAnsi="Century Gothic"/>
      <w:b/>
      <w:bCs/>
      <w:color w:val="222233"/>
    </w:rPr>
  </w:style>
  <w:style w:type="table" w:styleId="TableGrid">
    <w:name w:val="Table Grid"/>
    <w:basedOn w:val="TableNormal"/>
    <w:uiPriority w:val="39"/>
    <w:rsid w:val="0068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495AEF"/>
    <w:tblPr>
      <w:tblStyleRowBandSize w:val="1"/>
      <w:tblStyleColBandSize w:val="1"/>
      <w:tblBorders>
        <w:top w:val="single" w:sz="4" w:space="0" w:color="212133" w:themeColor="text1"/>
        <w:left w:val="single" w:sz="4" w:space="0" w:color="212133" w:themeColor="text1"/>
        <w:bottom w:val="single" w:sz="4" w:space="0" w:color="212133" w:themeColor="text1"/>
        <w:right w:val="single" w:sz="4" w:space="0" w:color="212133" w:themeColor="text1"/>
      </w:tblBorders>
    </w:tblPr>
    <w:tblStylePr w:type="firstRow">
      <w:rPr>
        <w:b/>
        <w:bCs/>
        <w:color w:val="F5F7FF" w:themeColor="background1"/>
      </w:rPr>
      <w:tblPr/>
      <w:tcPr>
        <w:shd w:val="clear" w:color="auto" w:fill="212133" w:themeFill="text1"/>
      </w:tcPr>
    </w:tblStylePr>
    <w:tblStylePr w:type="lastRow">
      <w:rPr>
        <w:b/>
        <w:bCs/>
      </w:rPr>
      <w:tblPr/>
      <w:tcPr>
        <w:tcBorders>
          <w:top w:val="double" w:sz="4" w:space="0" w:color="212133" w:themeColor="text1"/>
        </w:tcBorders>
        <w:shd w:val="clear" w:color="auto" w:fill="F5F7FF" w:themeFill="background1"/>
      </w:tcPr>
    </w:tblStylePr>
    <w:tblStylePr w:type="firstCol">
      <w:rPr>
        <w:b/>
        <w:bCs/>
      </w:rPr>
      <w:tblPr/>
      <w:tcPr>
        <w:tcBorders>
          <w:right w:val="nil"/>
        </w:tcBorders>
        <w:shd w:val="clear" w:color="auto" w:fill="F5F7FF" w:themeFill="background1"/>
      </w:tcPr>
    </w:tblStylePr>
    <w:tblStylePr w:type="lastCol">
      <w:rPr>
        <w:b/>
        <w:bCs/>
      </w:rPr>
      <w:tblPr/>
      <w:tcPr>
        <w:tcBorders>
          <w:left w:val="nil"/>
        </w:tcBorders>
        <w:shd w:val="clear" w:color="auto" w:fill="F5F7FF" w:themeFill="background1"/>
      </w:tcPr>
    </w:tblStylePr>
    <w:tblStylePr w:type="band1Vert">
      <w:tblPr/>
      <w:tcPr>
        <w:tcBorders>
          <w:left w:val="single" w:sz="4" w:space="0" w:color="212133" w:themeColor="text1"/>
          <w:right w:val="single" w:sz="4" w:space="0" w:color="212133" w:themeColor="text1"/>
        </w:tcBorders>
      </w:tcPr>
    </w:tblStylePr>
    <w:tblStylePr w:type="band1Horz">
      <w:tblPr/>
      <w:tcPr>
        <w:tcBorders>
          <w:top w:val="single" w:sz="4" w:space="0" w:color="212133" w:themeColor="text1"/>
          <w:bottom w:val="single" w:sz="4" w:space="0" w:color="2121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33" w:themeColor="text1"/>
          <w:left w:val="nil"/>
        </w:tcBorders>
      </w:tcPr>
    </w:tblStylePr>
    <w:tblStylePr w:type="swCell">
      <w:tblPr/>
      <w:tcPr>
        <w:tcBorders>
          <w:top w:val="double" w:sz="4" w:space="0" w:color="212133"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x.xoserve.portfoliooffice@xoserv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laria.akintoye@correl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212133"/>
      </a:dk1>
      <a:lt1>
        <a:srgbClr val="F5F7FF"/>
      </a:lt1>
      <a:dk2>
        <a:srgbClr val="212133"/>
      </a:dk2>
      <a:lt2>
        <a:srgbClr val="F5F7FF"/>
      </a:lt2>
      <a:accent1>
        <a:srgbClr val="5947FC"/>
      </a:accent1>
      <a:accent2>
        <a:srgbClr val="6680FF"/>
      </a:accent2>
      <a:accent3>
        <a:srgbClr val="57BAE5"/>
      </a:accent3>
      <a:accent4>
        <a:srgbClr val="0F9ED5"/>
      </a:accent4>
      <a:accent5>
        <a:srgbClr val="ED45AB"/>
      </a:accent5>
      <a:accent6>
        <a:srgbClr val="00BF75"/>
      </a:accent6>
      <a:hlink>
        <a:srgbClr val="5947FC"/>
      </a:hlink>
      <a:folHlink>
        <a:srgbClr val="ED45A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4A46900855F54F8B1B4A69CC14CF6B" ma:contentTypeVersion="11" ma:contentTypeDescription="Create a new document." ma:contentTypeScope="" ma:versionID="f10273a26cbd66aa2021404ad202c4cb">
  <xsd:schema xmlns:xsd="http://www.w3.org/2001/XMLSchema" xmlns:xs="http://www.w3.org/2001/XMLSchema" xmlns:p="http://schemas.microsoft.com/office/2006/metadata/properties" xmlns:ns2="11f1cc19-a6a2-4477-822b-8358f9edc374" xmlns:ns3="103fba77-31dd-4780-83f9-c54f26c3a260" targetNamespace="http://schemas.microsoft.com/office/2006/metadata/properties" ma:root="true" ma:fieldsID="b9f031c5bb86b2721e2485737034653e" ns2:_="" ns3:_="">
    <xsd:import namespace="11f1cc19-a6a2-4477-822b-8358f9edc374"/>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cc19-a6a2-4477-822b-8358f9edc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Time" ma:index="16"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me xmlns="11f1cc19-a6a2-4477-822b-8358f9edc374" xsi:nil="true"/>
  </documentManagement>
</p:properties>
</file>

<file path=customXml/itemProps1.xml><?xml version="1.0" encoding="utf-8"?>
<ds:datastoreItem xmlns:ds="http://schemas.openxmlformats.org/officeDocument/2006/customXml" ds:itemID="{76871B7E-5720-4C0A-998D-BE5A79D2FED2}">
  <ds:schemaRefs>
    <ds:schemaRef ds:uri="http://schemas.microsoft.com/sharepoint/v3/contenttype/forms"/>
  </ds:schemaRefs>
</ds:datastoreItem>
</file>

<file path=customXml/itemProps2.xml><?xml version="1.0" encoding="utf-8"?>
<ds:datastoreItem xmlns:ds="http://schemas.openxmlformats.org/officeDocument/2006/customXml" ds:itemID="{6A2B09C7-B160-4AD4-B1D4-24A48F20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1cc19-a6a2-4477-822b-8358f9edc374"/>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648F0-D876-4245-AAE9-371B600B8F39}">
  <ds:schemaRefs>
    <ds:schemaRef ds:uri="http://schemas.microsoft.com/office/2006/metadata/properties"/>
    <ds:schemaRef ds:uri="http://schemas.microsoft.com/office/infopath/2007/PartnerControls"/>
    <ds:schemaRef ds:uri="11f1cc19-a6a2-4477-822b-8358f9edc3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Clark</dc:creator>
  <cp:keywords/>
  <dc:description/>
  <cp:lastModifiedBy>Kate Lancaster</cp:lastModifiedBy>
  <cp:revision>33</cp:revision>
  <dcterms:created xsi:type="dcterms:W3CDTF">2025-08-20T13:28:00Z</dcterms:created>
  <dcterms:modified xsi:type="dcterms:W3CDTF">2025-08-28T13:32:00Z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0x010100BE4A46900855F54F8B1B4A69CC14CF6B</vt:lpwstr>
  </property>
  <property fmtid="{D5CDD505-2E9C-101B-9397-08002B2CF9AE}" pid="3" name="MediaServiceImageTags">
    <vt:lpwstr/>
  </property>
</Properties>
</file>