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5C0" w14:textId="77777777" w:rsidR="00315ABB" w:rsidRDefault="007043BB">
      <w:pPr>
        <w:pStyle w:val="Title"/>
      </w:pPr>
      <w:r>
        <w:t>High Level Solution Options Change Pack</w:t>
      </w:r>
    </w:p>
    <w:p w14:paraId="21BA09F4" w14:textId="77777777" w:rsidR="00315ABB" w:rsidRDefault="007043BB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718CF08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91C8B36" w14:textId="77777777" w:rsidR="00315ABB" w:rsidRDefault="007043BB">
            <w:pPr>
              <w:jc w:val="right"/>
              <w:rPr>
                <w:rFonts w:cs="Arial"/>
              </w:rPr>
            </w:pPr>
            <w:r>
              <w:t>Comm Reference:</w:t>
            </w:r>
          </w:p>
        </w:tc>
        <w:tc>
          <w:tcPr>
            <w:tcW w:w="3777" w:type="pct"/>
            <w:vAlign w:val="center"/>
          </w:tcPr>
          <w:p w14:paraId="571591F3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3050.4 - RT - PO</w:t>
            </w:r>
          </w:p>
        </w:tc>
      </w:tr>
      <w:tr w:rsidR="00315ABB" w14:paraId="33AA9F4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6F3DE9B" w14:textId="77777777" w:rsidR="00315ABB" w:rsidRDefault="007043BB">
            <w:pPr>
              <w:jc w:val="right"/>
              <w:rPr>
                <w:rFonts w:cs="Arial"/>
              </w:rPr>
            </w:pPr>
            <w:r>
              <w:t>Comm Title:</w:t>
            </w:r>
          </w:p>
        </w:tc>
        <w:tc>
          <w:tcPr>
            <w:tcW w:w="3777" w:type="pct"/>
            <w:vAlign w:val="center"/>
          </w:tcPr>
          <w:p w14:paraId="14AFB475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XRN 5469 Increasing the Frequency of FSG Payments</w:t>
            </w:r>
          </w:p>
        </w:tc>
      </w:tr>
      <w:tr w:rsidR="00315ABB" w14:paraId="27B0A1A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3AE5305" w14:textId="77777777" w:rsidR="00315ABB" w:rsidRDefault="007043BB">
            <w:pPr>
              <w:jc w:val="right"/>
              <w:rPr>
                <w:rFonts w:cs="Arial"/>
              </w:rPr>
            </w:pPr>
            <w:r>
              <w:t>Comm Date:</w:t>
            </w:r>
          </w:p>
        </w:tc>
        <w:tc>
          <w:tcPr>
            <w:tcW w:w="3777" w:type="pct"/>
            <w:vAlign w:val="center"/>
          </w:tcPr>
          <w:p w14:paraId="41B3BEEF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13/06/2022</w:t>
            </w:r>
          </w:p>
        </w:tc>
      </w:tr>
    </w:tbl>
    <w:p w14:paraId="3E37554C" w14:textId="77777777" w:rsidR="00315ABB" w:rsidRDefault="00315ABB"/>
    <w:p w14:paraId="6BD00A37" w14:textId="77777777" w:rsidR="00315ABB" w:rsidRDefault="007043BB">
      <w:pPr>
        <w:spacing w:after="0"/>
        <w:rPr>
          <w:b/>
          <w:bCs/>
          <w:color w:val="3E5AA8"/>
          <w:sz w:val="28"/>
          <w:szCs w:val="28"/>
        </w:rPr>
      </w:pPr>
      <w:r>
        <w:rPr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0B54151A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724D65E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4B40ADB0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For Approval</w:t>
            </w:r>
          </w:p>
        </w:tc>
      </w:tr>
      <w:tr w:rsidR="00315ABB" w14:paraId="71BFC7C5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3BA49F5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Close Out Date:</w:t>
            </w:r>
          </w:p>
        </w:tc>
        <w:tc>
          <w:tcPr>
            <w:tcW w:w="3777" w:type="pct"/>
            <w:vAlign w:val="center"/>
          </w:tcPr>
          <w:p w14:paraId="0CB408BC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27/06/2022</w:t>
            </w:r>
          </w:p>
        </w:tc>
      </w:tr>
    </w:tbl>
    <w:p w14:paraId="655FC899" w14:textId="77777777" w:rsidR="00315ABB" w:rsidRDefault="007043BB">
      <w:pPr>
        <w:pStyle w:val="Heading1"/>
      </w:pPr>
      <w: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6F93E52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69F957D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53369235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XRN5469 </w:t>
            </w:r>
          </w:p>
        </w:tc>
      </w:tr>
      <w:tr w:rsidR="00315ABB" w14:paraId="071E307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17C9EFB8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*</w:t>
            </w:r>
            <w:proofErr w:type="spellStart"/>
            <w:r>
              <w:rPr>
                <w:rFonts w:cs="Arial"/>
              </w:rPr>
              <w:t>ChMC</w:t>
            </w:r>
            <w:proofErr w:type="spellEnd"/>
            <w:r>
              <w:rPr>
                <w:rFonts w:cs="Arial"/>
              </w:rPr>
              <w:t xml:space="preserve"> Constituency Impacted:</w:t>
            </w:r>
          </w:p>
        </w:tc>
        <w:tc>
          <w:tcPr>
            <w:tcW w:w="3777" w:type="pct"/>
            <w:vAlign w:val="center"/>
          </w:tcPr>
          <w:p w14:paraId="38FE1952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Distribution Networks, Shippers</w:t>
            </w:r>
          </w:p>
        </w:tc>
      </w:tr>
      <w:tr w:rsidR="00315ABB" w14:paraId="6736F8A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C35F842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2D81CA34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Steve Pownall</w:t>
            </w:r>
          </w:p>
        </w:tc>
      </w:tr>
      <w:tr w:rsidR="00315ABB" w14:paraId="7B18AF9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2ED9DEB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30D02141" w14:textId="77777777" w:rsidR="00315ABB" w:rsidRDefault="00315ABB"/>
          <w:p w14:paraId="3B988F22" w14:textId="77777777" w:rsidR="00315ABB" w:rsidRDefault="007043BB">
            <w:r>
              <w:t xml:space="preserve">The Failure to Supply Gas (FSG) process is undertaken by the CDSP on behalf of all Distribution Networks. </w:t>
            </w:r>
          </w:p>
          <w:p w14:paraId="66B7E0FE" w14:textId="77777777" w:rsidR="00315ABB" w:rsidRDefault="00315ABB"/>
          <w:p w14:paraId="373F61B7" w14:textId="77777777" w:rsidR="00315ABB" w:rsidRDefault="007043BB">
            <w:r>
              <w:t>Following a Failure to Supply Gas event, Distribution Networks issue an instruction to the CDSP, who in turn process the request. The successful pro</w:t>
            </w:r>
            <w:r>
              <w:t>cessing of an FSG instruction by the CDSP results in invoices to the Shipper – these include relevant FSG compensation payment information. Shippers are in turn responsible for ensuring that these compensation payments are made available to their contracte</w:t>
            </w:r>
            <w:r>
              <w:t xml:space="preserve">d Supplier, who in turn ensures that the end consumer receives the appropriate compensation payment. </w:t>
            </w:r>
          </w:p>
          <w:p w14:paraId="15948379" w14:textId="77777777" w:rsidR="00315ABB" w:rsidRDefault="00315ABB"/>
          <w:p w14:paraId="7D847233" w14:textId="77777777" w:rsidR="00315ABB" w:rsidRDefault="007043BB">
            <w:r>
              <w:t>The FSG process operated by the CDSP is scheduled to take place on a weekly basis, with agreed timescales for submission and processing of FSG instructio</w:t>
            </w:r>
            <w:r>
              <w:t xml:space="preserve">ns in place between Distribution Networks and the CDSP. </w:t>
            </w:r>
          </w:p>
          <w:p w14:paraId="5D1E0609" w14:textId="77777777" w:rsidR="00315ABB" w:rsidRDefault="00315ABB"/>
          <w:p w14:paraId="63DA7CAE" w14:textId="77777777" w:rsidR="00315ABB" w:rsidRDefault="007043BB">
            <w:r>
              <w:t xml:space="preserve">In addition, on an unscheduled basis, the CDSP supports the Distribution Networks by processing </w:t>
            </w:r>
            <w:proofErr w:type="spellStart"/>
            <w:r>
              <w:t>adhoc</w:t>
            </w:r>
            <w:proofErr w:type="spellEnd"/>
            <w:r>
              <w:t xml:space="preserve"> FSG instructions – this is primarily used in extreme weather events that have caused disruption </w:t>
            </w:r>
            <w:r>
              <w:t xml:space="preserve">to gas supply.  </w:t>
            </w:r>
          </w:p>
          <w:p w14:paraId="4FEE1140" w14:textId="77777777" w:rsidR="00315ABB" w:rsidRDefault="00315ABB"/>
        </w:tc>
      </w:tr>
    </w:tbl>
    <w:p w14:paraId="7D164BC3" w14:textId="77777777" w:rsidR="00315ABB" w:rsidRDefault="00315ABB"/>
    <w:p w14:paraId="5B657259" w14:textId="77777777" w:rsidR="00315ABB" w:rsidRDefault="007043BB">
      <w:pPr>
        <w:pStyle w:val="Heading1"/>
      </w:pPr>
      <w:r>
        <w:lastRenderedPageBreak/>
        <w:t>Solution Options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4F27C31B" w14:textId="77777777">
        <w:trPr>
          <w:trHeight w:val="1537"/>
        </w:trPr>
        <w:tc>
          <w:tcPr>
            <w:tcW w:w="1223" w:type="pct"/>
            <w:shd w:val="clear" w:color="auto" w:fill="B3EDFB"/>
            <w:vAlign w:val="center"/>
          </w:tcPr>
          <w:p w14:paraId="5DE09992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Solution Option Summary:</w:t>
            </w:r>
          </w:p>
        </w:tc>
        <w:tc>
          <w:tcPr>
            <w:tcW w:w="3777" w:type="pct"/>
          </w:tcPr>
          <w:p w14:paraId="0C705CB2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To support the desired outcome for customers, a single solution option has been identified. </w:t>
            </w:r>
          </w:p>
          <w:p w14:paraId="4DA0C64B" w14:textId="77777777" w:rsidR="00315ABB" w:rsidRDefault="00315ABB">
            <w:pPr>
              <w:rPr>
                <w:rFonts w:cs="Arial"/>
              </w:rPr>
            </w:pPr>
          </w:p>
          <w:p w14:paraId="2BE41CD7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This option seeks to bolster CDSP Invoicing Team capability, ensuring d</w:t>
            </w:r>
            <w:r>
              <w:rPr>
                <w:rFonts w:cs="Arial"/>
              </w:rPr>
              <w:t xml:space="preserve">aily FSG requests can be actioned if required within 1 business day of receipt. </w:t>
            </w:r>
          </w:p>
          <w:p w14:paraId="693325AA" w14:textId="77777777" w:rsidR="00315ABB" w:rsidRDefault="00315ABB">
            <w:pPr>
              <w:rPr>
                <w:rFonts w:cs="Arial"/>
              </w:rPr>
            </w:pPr>
          </w:p>
          <w:p w14:paraId="6A38E87C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This solution leverages the existing </w:t>
            </w:r>
            <w:proofErr w:type="spellStart"/>
            <w:r>
              <w:rPr>
                <w:rFonts w:cs="Arial"/>
              </w:rPr>
              <w:t>adhoc</w:t>
            </w:r>
            <w:proofErr w:type="spellEnd"/>
            <w:r>
              <w:rPr>
                <w:rFonts w:cs="Arial"/>
              </w:rPr>
              <w:t xml:space="preserve"> technical processing capability that is available to the CDSP, with enhanced Invoicing team resource to ensure a daily service is a</w:t>
            </w:r>
            <w:r>
              <w:rPr>
                <w:rFonts w:cs="Arial"/>
              </w:rPr>
              <w:t>vailable on a scheduled basis.</w:t>
            </w:r>
          </w:p>
          <w:p w14:paraId="243BD54F" w14:textId="77777777" w:rsidR="00315ABB" w:rsidRDefault="00315ABB">
            <w:pPr>
              <w:rPr>
                <w:rFonts w:cs="Arial"/>
              </w:rPr>
            </w:pPr>
          </w:p>
          <w:p w14:paraId="2672FFA2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Where FSG templates are submitted by Distribution Networks and received by the CDSP by 10am on a business day, these will be validated and actioned. The relevant compensation payments will be then issued to Shipper customers</w:t>
            </w:r>
            <w:r>
              <w:rPr>
                <w:rFonts w:cs="Arial"/>
              </w:rPr>
              <w:t xml:space="preserve"> on the next business day – in line with the current invoice provisions. </w:t>
            </w:r>
          </w:p>
          <w:p w14:paraId="24C5ABB7" w14:textId="77777777" w:rsidR="00315ABB" w:rsidRDefault="00315ABB">
            <w:pPr>
              <w:rPr>
                <w:rFonts w:cs="Arial"/>
              </w:rPr>
            </w:pPr>
          </w:p>
          <w:p w14:paraId="4E59585B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Further detail on the proposed High Level Solution Option is available within the attached document: </w:t>
            </w:r>
          </w:p>
          <w:p w14:paraId="549F82D5" w14:textId="77777777" w:rsidR="00315ABB" w:rsidRDefault="00315ABB">
            <w:pPr>
              <w:rPr>
                <w:rFonts w:cs="Arial"/>
              </w:rPr>
            </w:pPr>
          </w:p>
          <w:p w14:paraId="066B152D" w14:textId="77777777" w:rsidR="00315ABB" w:rsidRDefault="007043BB">
            <w:pPr>
              <w:rPr>
                <w:rFonts w:cs="Arial"/>
              </w:rPr>
            </w:pPr>
            <w:hyperlink r:id="rId6">
              <w:r>
                <w:rPr>
                  <w:rStyle w:val="Hyperlink"/>
                  <w:rFonts w:cs="Arial"/>
                </w:rPr>
                <w:t>HL</w:t>
              </w:r>
              <w:r>
                <w:rPr>
                  <w:rStyle w:val="Hyperlink"/>
                  <w:rFonts w:cs="Arial"/>
                </w:rPr>
                <w:t>S</w:t>
              </w:r>
              <w:r>
                <w:rPr>
                  <w:rStyle w:val="Hyperlink"/>
                  <w:rFonts w:cs="Arial"/>
                </w:rPr>
                <w:t>O</w:t>
              </w:r>
            </w:hyperlink>
          </w:p>
          <w:p w14:paraId="5518131F" w14:textId="77777777" w:rsidR="00315ABB" w:rsidRDefault="00315ABB">
            <w:pPr>
              <w:rPr>
                <w:rFonts w:cs="Arial"/>
              </w:rPr>
            </w:pPr>
          </w:p>
          <w:p w14:paraId="17A279CF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15ABB" w14:paraId="527B61F8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374B288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Proposed Implementation Date:</w:t>
            </w:r>
          </w:p>
        </w:tc>
        <w:tc>
          <w:tcPr>
            <w:tcW w:w="3777" w:type="pct"/>
            <w:vAlign w:val="center"/>
          </w:tcPr>
          <w:p w14:paraId="6EF1EF6F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Approx. 3 months from DSC funding approval</w:t>
            </w:r>
          </w:p>
        </w:tc>
      </w:tr>
      <w:tr w:rsidR="00315ABB" w14:paraId="0465A00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26A4F9E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preferred option:</w:t>
            </w:r>
          </w:p>
          <w:p w14:paraId="237D4926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including</w:t>
            </w:r>
            <w:proofErr w:type="gramEnd"/>
            <w:r>
              <w:rPr>
                <w:rFonts w:cs="Arial"/>
              </w:rPr>
              <w:t xml:space="preserve"> rationale)</w:t>
            </w:r>
          </w:p>
        </w:tc>
        <w:tc>
          <w:tcPr>
            <w:tcW w:w="3777" w:type="pct"/>
            <w:vAlign w:val="center"/>
          </w:tcPr>
          <w:p w14:paraId="186C0E19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Single Solution Option as defined above</w:t>
            </w:r>
          </w:p>
        </w:tc>
      </w:tr>
      <w:tr w:rsidR="00315ABB" w14:paraId="6D31A6F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9B85F24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DSG preferred solution option:</w:t>
            </w:r>
          </w:p>
          <w:p w14:paraId="4126CFEE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including</w:t>
            </w:r>
            <w:proofErr w:type="gramEnd"/>
            <w:r>
              <w:rPr>
                <w:rFonts w:cs="Arial"/>
              </w:rPr>
              <w:t xml:space="preserve"> rationale)</w:t>
            </w:r>
          </w:p>
        </w:tc>
        <w:tc>
          <w:tcPr>
            <w:tcW w:w="3777" w:type="pct"/>
            <w:vAlign w:val="center"/>
          </w:tcPr>
          <w:p w14:paraId="0903ADDD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4DE331C" w14:textId="77777777" w:rsidR="00315ABB" w:rsidRDefault="00315ABB"/>
    <w:p w14:paraId="7B5B7EA1" w14:textId="77777777" w:rsidR="00315ABB" w:rsidRDefault="007043BB">
      <w:pPr>
        <w:pStyle w:val="Heading1"/>
        <w:rPr>
          <w:b w:val="0"/>
          <w:bCs w:val="0"/>
        </w:rPr>
      </w:pPr>
      <w:r>
        <w:t xml:space="preserve">Service Lines and Funding – </w:t>
      </w:r>
      <w:r>
        <w:rPr>
          <w:b w:val="0"/>
          <w:bCs w:val="0"/>
          <w:color w:val="auto"/>
          <w:sz w:val="24"/>
          <w:szCs w:val="24"/>
        </w:rPr>
        <w:t>for each option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183AFB4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0015CEF1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Service Line(s) Impacted - New or existing</w:t>
            </w:r>
          </w:p>
        </w:tc>
        <w:tc>
          <w:tcPr>
            <w:tcW w:w="3777" w:type="pct"/>
            <w:vAlign w:val="center"/>
          </w:tcPr>
          <w:p w14:paraId="5FB0AF1E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Service Area 10 – Invoicing Customers</w:t>
            </w:r>
          </w:p>
        </w:tc>
      </w:tr>
      <w:tr w:rsidR="00315ABB" w14:paraId="110AA05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9C59633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Level of Impact</w:t>
            </w:r>
          </w:p>
        </w:tc>
        <w:tc>
          <w:tcPr>
            <w:tcW w:w="3777" w:type="pct"/>
            <w:vAlign w:val="center"/>
          </w:tcPr>
          <w:p w14:paraId="1C1FF51A" w14:textId="77777777" w:rsidR="00315ABB" w:rsidRDefault="007043BB">
            <w:pPr>
              <w:rPr>
                <w:rFonts w:cs="Arial"/>
                <w:color w:val="808080"/>
              </w:rPr>
            </w:pPr>
            <w:r>
              <w:rPr>
                <w:rFonts w:cs="Arial"/>
              </w:rPr>
              <w:t>Low</w:t>
            </w:r>
          </w:p>
        </w:tc>
      </w:tr>
      <w:tr w:rsidR="00315ABB" w14:paraId="7CC98EA5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FB6F948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Impacts on UK Link Manual/ Data Permissions Matrix  </w:t>
            </w:r>
          </w:p>
        </w:tc>
        <w:tc>
          <w:tcPr>
            <w:tcW w:w="3777" w:type="pct"/>
            <w:vAlign w:val="center"/>
          </w:tcPr>
          <w:p w14:paraId="098635C5" w14:textId="77777777" w:rsidR="00315ABB" w:rsidRDefault="007043BB">
            <w:pPr>
              <w:rPr>
                <w:rFonts w:cs="Arial"/>
                <w:color w:val="808080"/>
              </w:rPr>
            </w:pPr>
            <w:r>
              <w:rPr>
                <w:rFonts w:cs="Arial"/>
                <w:color w:val="808080"/>
              </w:rPr>
              <w:t xml:space="preserve">None Identified </w:t>
            </w:r>
          </w:p>
        </w:tc>
      </w:tr>
    </w:tbl>
    <w:p w14:paraId="5B72461A" w14:textId="77777777" w:rsidR="00315ABB" w:rsidRDefault="007043BB">
      <w:r>
        <w:br w:type="page"/>
      </w:r>
    </w:p>
    <w:p w14:paraId="49F83E84" w14:textId="77777777" w:rsidR="00315ABB" w:rsidRDefault="007043BB">
      <w:pPr>
        <w:pStyle w:val="Title"/>
      </w:pPr>
      <w:r>
        <w:lastRenderedPageBreak/>
        <w:t>Industry Response Solution Options Review</w:t>
      </w:r>
    </w:p>
    <w:p w14:paraId="53833D72" w14:textId="77777777" w:rsidR="00315ABB" w:rsidRDefault="007043BB">
      <w:pPr>
        <w:pStyle w:val="Heading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Please consider any commercial impacts to your organisation that Xoserve need to </w:t>
      </w:r>
      <w:r>
        <w:rPr>
          <w:i/>
          <w:iCs/>
          <w:color w:val="auto"/>
          <w:sz w:val="22"/>
          <w:szCs w:val="22"/>
        </w:rPr>
        <w:t>be aware of when formulating your response</w:t>
      </w:r>
    </w:p>
    <w:p w14:paraId="6CD9230A" w14:textId="77777777" w:rsidR="00315ABB" w:rsidRDefault="007043BB">
      <w:pPr>
        <w:pStyle w:val="Heading1"/>
      </w:pPr>
      <w:r>
        <w:t>Organisation’s preferred solution option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6"/>
        <w:gridCol w:w="1925"/>
        <w:gridCol w:w="6003"/>
      </w:tblGrid>
      <w:tr w:rsidR="00315ABB" w14:paraId="2DF93BD5" w14:textId="77777777">
        <w:trPr>
          <w:trHeight w:val="403"/>
        </w:trPr>
        <w:tc>
          <w:tcPr>
            <w:tcW w:w="1223" w:type="pct"/>
            <w:vMerge w:val="restart"/>
            <w:shd w:val="clear" w:color="auto" w:fill="B3EDFB"/>
            <w:vAlign w:val="center"/>
          </w:tcPr>
          <w:p w14:paraId="612234A9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shd w:val="clear" w:color="auto" w:fill="B3EDFB"/>
            <w:vAlign w:val="center"/>
          </w:tcPr>
          <w:p w14:paraId="784B2550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vAlign w:val="center"/>
          </w:tcPr>
          <w:p w14:paraId="75E359CE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Cadent</w:t>
            </w:r>
          </w:p>
        </w:tc>
      </w:tr>
      <w:tr w:rsidR="00315ABB" w14:paraId="179B9F71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4D7927EE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3BFDAF3A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vAlign w:val="center"/>
          </w:tcPr>
          <w:p w14:paraId="0E380EC7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Andy Clasper</w:t>
            </w:r>
          </w:p>
        </w:tc>
      </w:tr>
      <w:tr w:rsidR="00315ABB" w14:paraId="19F3F6B0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48407FE7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6D779031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vAlign w:val="center"/>
          </w:tcPr>
          <w:p w14:paraId="1EE38863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andy.clasper@cadentgas.com</w:t>
            </w:r>
          </w:p>
        </w:tc>
      </w:tr>
      <w:tr w:rsidR="00315ABB" w14:paraId="453BC6C8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3F4B84AC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4F2D7FF1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vAlign w:val="center"/>
          </w:tcPr>
          <w:p w14:paraId="1F922901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07884113385</w:t>
            </w:r>
          </w:p>
        </w:tc>
      </w:tr>
      <w:tr w:rsidR="00315ABB" w14:paraId="1A3E234C" w14:textId="77777777">
        <w:trPr>
          <w:trHeight w:val="1137"/>
        </w:trPr>
        <w:tc>
          <w:tcPr>
            <w:tcW w:w="1223" w:type="pct"/>
            <w:shd w:val="clear" w:color="auto" w:fill="B3EDFB"/>
            <w:vAlign w:val="center"/>
          </w:tcPr>
          <w:p w14:paraId="2145C212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Organisation’s preferred solution option, including rationale </w:t>
            </w:r>
            <w:proofErr w:type="gramStart"/>
            <w:r>
              <w:rPr>
                <w:rFonts w:cs="Arial"/>
              </w:rPr>
              <w:t>taking into account</w:t>
            </w:r>
            <w:proofErr w:type="gramEnd"/>
            <w:r>
              <w:rPr>
                <w:rFonts w:cs="Arial"/>
              </w:rPr>
              <w:t xml:space="preserve"> costs, risks, resource etc.</w:t>
            </w:r>
          </w:p>
        </w:tc>
        <w:tc>
          <w:tcPr>
            <w:tcW w:w="3777" w:type="pct"/>
            <w:gridSpan w:val="2"/>
            <w:vAlign w:val="center"/>
          </w:tcPr>
          <w:p w14:paraId="0C32F719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We are supportive of the solution which will allow all DNs to submit Failure to Supply Gas payments more frequently (daily)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This will support sw</w:t>
            </w:r>
            <w:r>
              <w:rPr>
                <w:rFonts w:cs="Arial"/>
              </w:rPr>
              <w:t>ifter payments to customers, hopefully leading to greater levels of customer satisfaction.</w:t>
            </w:r>
            <w:r>
              <w:rPr>
                <w:rFonts w:cs="Arial"/>
              </w:rPr>
              <w:br/>
            </w:r>
          </w:p>
        </w:tc>
      </w:tr>
      <w:tr w:rsidR="00315ABB" w14:paraId="6A01EB9D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CDCCA56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Implementation Date:</w:t>
            </w:r>
          </w:p>
        </w:tc>
        <w:tc>
          <w:tcPr>
            <w:tcW w:w="3777" w:type="pct"/>
            <w:gridSpan w:val="2"/>
            <w:vAlign w:val="center"/>
          </w:tcPr>
          <w:p w14:paraId="1D4B3A22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0219D60E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6B8C7E4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59D95835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304C256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343580AC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DSG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03961910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6258AB10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4428DF1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Publication of consultation response:</w:t>
            </w:r>
          </w:p>
        </w:tc>
        <w:tc>
          <w:tcPr>
            <w:tcW w:w="3777" w:type="pct"/>
            <w:gridSpan w:val="2"/>
            <w:vAlign w:val="center"/>
          </w:tcPr>
          <w:p w14:paraId="384C4DFD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7EA781F0" w14:textId="77777777" w:rsidR="00315ABB" w:rsidRDefault="007043BB">
      <w:pPr>
        <w:pStyle w:val="Heading1"/>
      </w:pPr>
      <w:r>
        <w:t xml:space="preserve">Xoserve’ s Response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7A73FC4F" w14:textId="77777777">
        <w:trPr>
          <w:trHeight w:val="663"/>
        </w:trPr>
        <w:tc>
          <w:tcPr>
            <w:tcW w:w="1223" w:type="pct"/>
            <w:shd w:val="clear" w:color="auto" w:fill="B3EDFB"/>
            <w:vAlign w:val="center"/>
          </w:tcPr>
          <w:p w14:paraId="7B30E16D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Response to Organisations Comments:</w:t>
            </w:r>
          </w:p>
        </w:tc>
        <w:tc>
          <w:tcPr>
            <w:tcW w:w="3777" w:type="pct"/>
            <w:vAlign w:val="center"/>
          </w:tcPr>
          <w:p w14:paraId="1D44FB93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Thank you for your representation, we will feed this into </w:t>
            </w:r>
            <w:proofErr w:type="spellStart"/>
            <w:r>
              <w:rPr>
                <w:rFonts w:cs="Arial"/>
              </w:rPr>
              <w:t>ChMC</w:t>
            </w:r>
            <w:proofErr w:type="spellEnd"/>
            <w:r>
              <w:rPr>
                <w:rFonts w:cs="Arial"/>
              </w:rPr>
              <w:t xml:space="preserve"> for a final decision.</w:t>
            </w:r>
          </w:p>
        </w:tc>
      </w:tr>
    </w:tbl>
    <w:p w14:paraId="4EA34E98" w14:textId="77777777" w:rsidR="00315ABB" w:rsidRDefault="00315ABB"/>
    <w:p w14:paraId="6A0B0CA3" w14:textId="77777777" w:rsidR="00315ABB" w:rsidRDefault="007043BB">
      <w:pPr>
        <w:pStyle w:val="Heading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44F0A6E0" w14:textId="77777777" w:rsidR="00315ABB" w:rsidRDefault="007043BB">
      <w:pPr>
        <w:pStyle w:val="Heading1"/>
      </w:pPr>
      <w:r>
        <w:t>Organisation’s preferred solution option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6"/>
        <w:gridCol w:w="1925"/>
        <w:gridCol w:w="6003"/>
      </w:tblGrid>
      <w:tr w:rsidR="00315ABB" w14:paraId="452EF6F2" w14:textId="77777777">
        <w:trPr>
          <w:trHeight w:val="403"/>
        </w:trPr>
        <w:tc>
          <w:tcPr>
            <w:tcW w:w="1223" w:type="pct"/>
            <w:vMerge w:val="restart"/>
            <w:shd w:val="clear" w:color="auto" w:fill="B3EDFB"/>
            <w:vAlign w:val="center"/>
          </w:tcPr>
          <w:p w14:paraId="5F3EBB29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User Contact Details:</w:t>
            </w:r>
          </w:p>
        </w:tc>
        <w:tc>
          <w:tcPr>
            <w:tcW w:w="917" w:type="pct"/>
            <w:shd w:val="clear" w:color="auto" w:fill="B3EDFB"/>
            <w:vAlign w:val="center"/>
          </w:tcPr>
          <w:p w14:paraId="049F014B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vAlign w:val="center"/>
          </w:tcPr>
          <w:p w14:paraId="63015536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Wales &amp; West Utilities</w:t>
            </w:r>
          </w:p>
        </w:tc>
      </w:tr>
      <w:tr w:rsidR="00315ABB" w14:paraId="0F54E7EC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35C48532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4F369C7D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vAlign w:val="center"/>
          </w:tcPr>
          <w:p w14:paraId="7D1E52A1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Richard Pomroy</w:t>
            </w:r>
          </w:p>
        </w:tc>
      </w:tr>
      <w:tr w:rsidR="00315ABB" w14:paraId="270E9FF5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4751FEE8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2FACF0A2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vAlign w:val="center"/>
          </w:tcPr>
          <w:p w14:paraId="18985557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Richard.pomroy@wwutilities.co.uk</w:t>
            </w:r>
          </w:p>
        </w:tc>
      </w:tr>
      <w:tr w:rsidR="00315ABB" w14:paraId="4FB898CF" w14:textId="77777777">
        <w:trPr>
          <w:trHeight w:val="403"/>
        </w:trPr>
        <w:tc>
          <w:tcPr>
            <w:tcW w:w="1223" w:type="pct"/>
            <w:vMerge/>
            <w:shd w:val="clear" w:color="auto" w:fill="B3EDFB"/>
            <w:vAlign w:val="center"/>
          </w:tcPr>
          <w:p w14:paraId="771B3A11" w14:textId="77777777" w:rsidR="00315ABB" w:rsidRDefault="00315ABB"/>
        </w:tc>
        <w:tc>
          <w:tcPr>
            <w:tcW w:w="917" w:type="pct"/>
            <w:shd w:val="clear" w:color="auto" w:fill="B3EDFB"/>
            <w:vAlign w:val="center"/>
          </w:tcPr>
          <w:p w14:paraId="6A8F83A0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vAlign w:val="center"/>
          </w:tcPr>
          <w:p w14:paraId="1EB98F3B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07812973337</w:t>
            </w:r>
          </w:p>
        </w:tc>
      </w:tr>
      <w:tr w:rsidR="00315ABB" w14:paraId="5A3531F1" w14:textId="77777777">
        <w:trPr>
          <w:trHeight w:val="1137"/>
        </w:trPr>
        <w:tc>
          <w:tcPr>
            <w:tcW w:w="1223" w:type="pct"/>
            <w:shd w:val="clear" w:color="auto" w:fill="B3EDFB"/>
            <w:vAlign w:val="center"/>
          </w:tcPr>
          <w:p w14:paraId="77CB16E3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Organisation’s preferred solution option, including rationale </w:t>
            </w:r>
            <w:proofErr w:type="gramStart"/>
            <w:r>
              <w:rPr>
                <w:rFonts w:cs="Arial"/>
              </w:rPr>
              <w:t>taking into account</w:t>
            </w:r>
            <w:proofErr w:type="gramEnd"/>
            <w:r>
              <w:rPr>
                <w:rFonts w:cs="Arial"/>
              </w:rPr>
              <w:t xml:space="preserve"> costs, risks, resource etc.</w:t>
            </w:r>
          </w:p>
        </w:tc>
        <w:tc>
          <w:tcPr>
            <w:tcW w:w="3777" w:type="pct"/>
            <w:gridSpan w:val="2"/>
            <w:vAlign w:val="center"/>
          </w:tcPr>
          <w:p w14:paraId="4539EC90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We support the proposed, single, solution.   We agree with the proposer that inc</w:t>
            </w:r>
            <w:r>
              <w:rPr>
                <w:rFonts w:cs="Arial"/>
              </w:rPr>
              <w:t xml:space="preserve">reasing the frequency of the </w:t>
            </w:r>
            <w:proofErr w:type="spellStart"/>
            <w:r>
              <w:rPr>
                <w:rFonts w:cs="Arial"/>
              </w:rPr>
              <w:t>Falilure</w:t>
            </w:r>
            <w:proofErr w:type="spellEnd"/>
            <w:r>
              <w:rPr>
                <w:rFonts w:cs="Arial"/>
              </w:rPr>
              <w:t xml:space="preserve"> to Supply Gas payment process is necessary given the shorter timescales DNs </w:t>
            </w:r>
            <w:proofErr w:type="gramStart"/>
            <w:r>
              <w:rPr>
                <w:rFonts w:cs="Arial"/>
              </w:rPr>
              <w:t>have to</w:t>
            </w:r>
            <w:proofErr w:type="gramEnd"/>
            <w:r>
              <w:rPr>
                <w:rFonts w:cs="Arial"/>
              </w:rPr>
              <w:t xml:space="preserve"> make the payments.</w:t>
            </w:r>
          </w:p>
        </w:tc>
      </w:tr>
      <w:tr w:rsidR="00315ABB" w14:paraId="0B4B1B74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5C9DE64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Implementation Date:</w:t>
            </w:r>
          </w:p>
        </w:tc>
        <w:tc>
          <w:tcPr>
            <w:tcW w:w="3777" w:type="pct"/>
            <w:gridSpan w:val="2"/>
            <w:vAlign w:val="center"/>
          </w:tcPr>
          <w:p w14:paraId="6C65751F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27F4E61F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5B68E7E9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6295CD61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7853233C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792CEB9B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DSG preferred solution option:</w:t>
            </w:r>
          </w:p>
        </w:tc>
        <w:tc>
          <w:tcPr>
            <w:tcW w:w="3777" w:type="pct"/>
            <w:gridSpan w:val="2"/>
            <w:vAlign w:val="center"/>
          </w:tcPr>
          <w:p w14:paraId="4B5789ED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 w:rsidR="00315ABB" w14:paraId="3C1F6AD7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287BA258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Publication of consultation response:</w:t>
            </w:r>
          </w:p>
        </w:tc>
        <w:tc>
          <w:tcPr>
            <w:tcW w:w="3777" w:type="pct"/>
            <w:gridSpan w:val="2"/>
            <w:vAlign w:val="center"/>
          </w:tcPr>
          <w:p w14:paraId="2A0FD307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1C5295E5" w14:textId="77777777" w:rsidR="00315ABB" w:rsidRDefault="007043BB">
      <w:pPr>
        <w:pStyle w:val="Heading1"/>
      </w:pPr>
      <w:r>
        <w:t xml:space="preserve">Xoserve’ s Response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0595549A" w14:textId="77777777">
        <w:trPr>
          <w:trHeight w:val="663"/>
        </w:trPr>
        <w:tc>
          <w:tcPr>
            <w:tcW w:w="1223" w:type="pct"/>
            <w:shd w:val="clear" w:color="auto" w:fill="B3EDFB"/>
            <w:vAlign w:val="center"/>
          </w:tcPr>
          <w:p w14:paraId="274D393A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Xoserve Response to Organisations Comments:</w:t>
            </w:r>
          </w:p>
        </w:tc>
        <w:tc>
          <w:tcPr>
            <w:tcW w:w="3777" w:type="pct"/>
            <w:vAlign w:val="center"/>
          </w:tcPr>
          <w:p w14:paraId="5899210A" w14:textId="77777777" w:rsidR="00315ABB" w:rsidRDefault="007043BB">
            <w:pPr>
              <w:rPr>
                <w:rFonts w:cs="Arial"/>
              </w:rPr>
            </w:pPr>
            <w:r>
              <w:rPr>
                <w:rFonts w:cs="Arial"/>
              </w:rPr>
              <w:t xml:space="preserve">Thank you for your representation, we will feed this into </w:t>
            </w:r>
            <w:proofErr w:type="spellStart"/>
            <w:r>
              <w:rPr>
                <w:rFonts w:cs="Arial"/>
              </w:rPr>
              <w:t>ChMC</w:t>
            </w:r>
            <w:proofErr w:type="spellEnd"/>
            <w:r>
              <w:rPr>
                <w:rFonts w:cs="Arial"/>
              </w:rPr>
              <w:t xml:space="preserve"> for a final decision.</w:t>
            </w:r>
          </w:p>
        </w:tc>
      </w:tr>
    </w:tbl>
    <w:p w14:paraId="4CDB54DD" w14:textId="77777777" w:rsidR="00315ABB" w:rsidRDefault="00315ABB"/>
    <w:p w14:paraId="5C96C480" w14:textId="65210D29" w:rsidR="00934AAF" w:rsidRPr="00934AAF" w:rsidRDefault="007043BB" w:rsidP="00934AAF">
      <w:pPr>
        <w:pStyle w:val="Title"/>
      </w:pPr>
      <w:r>
        <w:br w:type="page"/>
      </w:r>
      <w:r>
        <w:lastRenderedPageBreak/>
        <w:t>Change Management Committee Outcome</w:t>
      </w:r>
    </w:p>
    <w:tbl>
      <w:tblPr>
        <w:tblStyle w:val="TableGrid1"/>
        <w:tblW w:w="5000" w:type="pct"/>
        <w:tblInd w:w="-34" w:type="dxa"/>
        <w:tblLook w:val="04A0" w:firstRow="1" w:lastRow="0" w:firstColumn="1" w:lastColumn="0" w:noHBand="0" w:noVBand="1"/>
      </w:tblPr>
      <w:tblGrid>
        <w:gridCol w:w="2563"/>
        <w:gridCol w:w="2631"/>
        <w:gridCol w:w="1317"/>
        <w:gridCol w:w="684"/>
        <w:gridCol w:w="632"/>
        <w:gridCol w:w="2629"/>
      </w:tblGrid>
      <w:tr w:rsidR="00934AAF" w14:paraId="7312007A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1EFD3BAB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Change Status: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C870" w14:textId="4C63D608" w:rsidR="00934AAF" w:rsidRDefault="00934AAF">
            <w:pPr>
              <w:rPr>
                <w:rFonts w:cs="Arial"/>
                <w:szCs w:val="20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151961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☒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Approve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6F2A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5893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Reject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8F79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5784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Defer</w:t>
            </w:r>
          </w:p>
        </w:tc>
      </w:tr>
      <w:tr w:rsidR="00934AAF" w14:paraId="36659C6C" w14:textId="77777777" w:rsidTr="00934AAF">
        <w:trPr>
          <w:trHeight w:val="403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14A93B57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Industry Consultation: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530" w14:textId="2CFC99FF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724294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☒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10 Working Days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7F32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11949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15 Working Days</w:t>
            </w:r>
          </w:p>
        </w:tc>
      </w:tr>
      <w:tr w:rsidR="00934AAF" w14:paraId="65CEA849" w14:textId="77777777" w:rsidTr="00934AA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AD6E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38C4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171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20 Working Days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8EF2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18098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Other [Specify Here]</w:t>
            </w:r>
          </w:p>
        </w:tc>
      </w:tr>
      <w:tr w:rsidR="00934AAF" w14:paraId="62E6FECE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441AF892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DSC Consultation Issue: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323" w14:textId="6A979D5C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165489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☒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Yes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75A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13728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No</w:t>
            </w:r>
          </w:p>
        </w:tc>
      </w:tr>
      <w:tr w:rsidR="00934AAF" w14:paraId="6A7F2200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52CA1DFF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Date Issued:</w:t>
            </w:r>
          </w:p>
        </w:tc>
        <w:sdt>
          <w:sdtPr>
            <w:rPr>
              <w:rFonts w:cs="Arial"/>
              <w:lang w:eastAsia="en-GB"/>
            </w:rPr>
            <w:id w:val="525610964"/>
            <w:placeholder>
              <w:docPart w:val="D2CB2684FDFF43A2A459433B13A65FD7"/>
            </w:placeholder>
            <w:date w:fullDate="2022-06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ED8E76" w14:textId="7B791FE9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rFonts w:cs="Arial"/>
                    <w:lang w:eastAsia="en-GB"/>
                  </w:rPr>
                  <w:t>13/06/2022</w:t>
                </w:r>
              </w:p>
            </w:tc>
          </w:sdtContent>
        </w:sdt>
      </w:tr>
      <w:tr w:rsidR="00934AAF" w14:paraId="16F3060F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2A4851BD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Comms Ref(s):</w:t>
            </w:r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D2D" w14:textId="0EB3439D" w:rsidR="00934AAF" w:rsidRDefault="00934AAF">
            <w:pPr>
              <w:rPr>
                <w:rFonts w:cs="Arial"/>
                <w:lang w:eastAsia="en-GB"/>
              </w:rPr>
            </w:pPr>
            <w:r w:rsidRPr="00934AAF">
              <w:rPr>
                <w:rFonts w:cs="Arial"/>
                <w:lang w:eastAsia="en-GB"/>
              </w:rPr>
              <w:t>3050.4 - RT - PO</w:t>
            </w:r>
          </w:p>
        </w:tc>
      </w:tr>
      <w:tr w:rsidR="00934AAF" w14:paraId="32CA1EB8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043C37B5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Number of Responses:</w:t>
            </w:r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75" w14:textId="0E35982F" w:rsidR="00934AAF" w:rsidRDefault="00934AAF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2</w:t>
            </w:r>
          </w:p>
        </w:tc>
      </w:tr>
      <w:tr w:rsidR="00934AAF" w14:paraId="1037FE80" w14:textId="77777777" w:rsidTr="00934AAF">
        <w:trPr>
          <w:trHeight w:val="403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0F0945E0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Solution Voting:</w:t>
            </w: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4B5C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8895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Shipper</w:t>
            </w:r>
          </w:p>
        </w:tc>
        <w:sdt>
          <w:sdtPr>
            <w:rPr>
              <w:rFonts w:cs="Arial"/>
              <w:lang w:eastAsia="en-GB"/>
            </w:rPr>
            <w:alias w:val="Voting"/>
            <w:tag w:val="Voting"/>
            <w:id w:val="1016112757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B9EFF8" w14:textId="77777777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color w:val="808080"/>
                    <w:lang w:eastAsia="en-GB"/>
                  </w:rPr>
                  <w:t>Please select.</w:t>
                </w:r>
              </w:p>
            </w:tc>
          </w:sdtContent>
        </w:sdt>
      </w:tr>
      <w:tr w:rsidR="00934AAF" w14:paraId="41CD73DA" w14:textId="77777777" w:rsidTr="00934AA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1C49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7AB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11605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National Grid Transmission</w:t>
            </w:r>
          </w:p>
        </w:tc>
        <w:sdt>
          <w:sdtPr>
            <w:rPr>
              <w:rFonts w:cs="Arial"/>
              <w:lang w:eastAsia="en-GB"/>
            </w:rPr>
            <w:alias w:val="Voting"/>
            <w:tag w:val="Voting"/>
            <w:id w:val="943807748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D7FB38" w14:textId="77777777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color w:val="808080"/>
                    <w:lang w:eastAsia="en-GB"/>
                  </w:rPr>
                  <w:t>Please select.</w:t>
                </w:r>
              </w:p>
            </w:tc>
          </w:sdtContent>
        </w:sdt>
      </w:tr>
      <w:tr w:rsidR="00934AAF" w14:paraId="734351E9" w14:textId="77777777" w:rsidTr="00934AA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4A3D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CA0B" w14:textId="68D7C856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-1282259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  <w:lang w:eastAsia="en-GB"/>
                  </w:rPr>
                  <w:t>☒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Distribution Network Operator</w:t>
            </w:r>
          </w:p>
        </w:tc>
        <w:sdt>
          <w:sdtPr>
            <w:rPr>
              <w:rFonts w:cs="Arial"/>
              <w:lang w:eastAsia="en-GB"/>
            </w:rPr>
            <w:alias w:val="Voting"/>
            <w:tag w:val="Voting"/>
            <w:id w:val="1750919387"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C1F790" w14:textId="215CFC55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rFonts w:cs="Arial"/>
                    <w:lang w:eastAsia="en-GB"/>
                  </w:rPr>
                  <w:t>Approve</w:t>
                </w:r>
              </w:p>
            </w:tc>
          </w:sdtContent>
        </w:sdt>
      </w:tr>
      <w:tr w:rsidR="00934AAF" w14:paraId="2776DB3D" w14:textId="77777777" w:rsidTr="00934AA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488F" w14:textId="77777777" w:rsidR="00934AAF" w:rsidRDefault="00934AAF">
            <w:pPr>
              <w:rPr>
                <w:rFonts w:cs="Arial"/>
                <w:szCs w:val="20"/>
                <w:lang w:eastAsia="en-GB"/>
              </w:rPr>
            </w:pPr>
          </w:p>
        </w:tc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8BF6" w14:textId="77777777" w:rsidR="00934AAF" w:rsidRDefault="00934AAF">
            <w:pPr>
              <w:rPr>
                <w:rFonts w:cs="Arial"/>
                <w:lang w:eastAsia="en-GB"/>
              </w:rPr>
            </w:pPr>
            <w:sdt>
              <w:sdtPr>
                <w:rPr>
                  <w:rFonts w:cs="Arial"/>
                  <w:szCs w:val="20"/>
                  <w:lang w:eastAsia="en-GB"/>
                </w:rPr>
                <w:id w:val="19299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eastAsia="en-GB"/>
              </w:rPr>
              <w:t xml:space="preserve"> IGT</w:t>
            </w:r>
          </w:p>
        </w:tc>
        <w:sdt>
          <w:sdtPr>
            <w:rPr>
              <w:rFonts w:cs="Arial"/>
              <w:lang w:eastAsia="en-GB"/>
            </w:rPr>
            <w:alias w:val="Voting"/>
            <w:tag w:val="Voting"/>
            <w:id w:val="-714046341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Content>
            <w:tc>
              <w:tcPr>
                <w:tcW w:w="155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3C3981" w14:textId="77777777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color w:val="808080"/>
                    <w:lang w:eastAsia="en-GB"/>
                  </w:rPr>
                  <w:t>Please select.</w:t>
                </w:r>
              </w:p>
            </w:tc>
          </w:sdtContent>
        </w:sdt>
      </w:tr>
      <w:tr w:rsidR="00934AAF" w14:paraId="2610E734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15C570AE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Meeting Date:</w:t>
            </w:r>
          </w:p>
        </w:tc>
        <w:sdt>
          <w:sdtPr>
            <w:rPr>
              <w:rFonts w:cs="Arial"/>
              <w:lang w:eastAsia="en-GB"/>
            </w:rPr>
            <w:id w:val="-938595837"/>
            <w:date w:fullDate="2022-07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807B8E" w14:textId="0E19C1F4" w:rsidR="00934AAF" w:rsidRDefault="00934AAF">
                <w:pPr>
                  <w:rPr>
                    <w:rFonts w:cs="Arial"/>
                    <w:lang w:eastAsia="en-GB"/>
                  </w:rPr>
                </w:pPr>
                <w:r>
                  <w:rPr>
                    <w:rFonts w:cs="Arial"/>
                    <w:lang w:eastAsia="en-GB"/>
                  </w:rPr>
                  <w:t>13/07/2022</w:t>
                </w:r>
              </w:p>
            </w:tc>
          </w:sdtContent>
        </w:sdt>
      </w:tr>
      <w:tr w:rsidR="00934AAF" w14:paraId="07CCB373" w14:textId="77777777" w:rsidTr="00934AAF">
        <w:trPr>
          <w:trHeight w:val="403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B"/>
            <w:vAlign w:val="center"/>
            <w:hideMark/>
          </w:tcPr>
          <w:p w14:paraId="71828FF4" w14:textId="77777777" w:rsidR="00934AAF" w:rsidRDefault="00934AAF">
            <w:pPr>
              <w:jc w:val="right"/>
              <w:rPr>
                <w:rFonts w:cs="Arial"/>
                <w:szCs w:val="20"/>
                <w:lang w:eastAsia="en-GB"/>
              </w:rPr>
            </w:pPr>
            <w:r>
              <w:rPr>
                <w:rFonts w:cs="Arial"/>
                <w:szCs w:val="20"/>
                <w:lang w:eastAsia="en-GB"/>
              </w:rPr>
              <w:t>Release Date:</w:t>
            </w:r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6A38" w14:textId="4769C538" w:rsidR="00934AAF" w:rsidRDefault="00934AAF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September 22</w:t>
            </w:r>
          </w:p>
        </w:tc>
      </w:tr>
    </w:tbl>
    <w:p w14:paraId="6C2346CF" w14:textId="77777777" w:rsidR="00315ABB" w:rsidRDefault="00315ABB">
      <w:pPr>
        <w:pStyle w:val="Title"/>
      </w:pPr>
    </w:p>
    <w:p w14:paraId="206075F4" w14:textId="77777777" w:rsidR="00315ABB" w:rsidRDefault="007043BB">
      <w:pPr>
        <w:pStyle w:val="Title"/>
      </w:pPr>
      <w:r>
        <w:t>Approved Solution Option</w:t>
      </w:r>
    </w:p>
    <w:p w14:paraId="2F99C3C5" w14:textId="77777777" w:rsidR="00315ABB" w:rsidRDefault="007043BB">
      <w:pPr>
        <w:pStyle w:val="Heading1"/>
      </w:pPr>
      <w:r>
        <w:t>Approved Solution Option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315ABB" w14:paraId="0A89E18A" w14:textId="77777777" w:rsidTr="00934AAF">
        <w:trPr>
          <w:trHeight w:val="1075"/>
        </w:trPr>
        <w:tc>
          <w:tcPr>
            <w:tcW w:w="1223" w:type="pct"/>
            <w:shd w:val="clear" w:color="auto" w:fill="B3EDFB"/>
            <w:vAlign w:val="center"/>
          </w:tcPr>
          <w:p w14:paraId="38F823E6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Solution Details:</w:t>
            </w:r>
          </w:p>
        </w:tc>
        <w:tc>
          <w:tcPr>
            <w:tcW w:w="3777" w:type="pct"/>
            <w:vAlign w:val="center"/>
          </w:tcPr>
          <w:p w14:paraId="22860566" w14:textId="705BBC68" w:rsidR="00315ABB" w:rsidRDefault="0035255A" w:rsidP="00934AAF">
            <w:pPr>
              <w:rPr>
                <w:rFonts w:cs="Arial"/>
              </w:rPr>
            </w:pPr>
            <w:r>
              <w:t xml:space="preserve">Option 1: </w:t>
            </w:r>
            <w:r>
              <w:t>Supplement exiting team to run process daily on behalf of all Distribution Networks</w:t>
            </w:r>
          </w:p>
        </w:tc>
      </w:tr>
      <w:tr w:rsidR="00315ABB" w14:paraId="6B202565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69E298C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Implementation Date:</w:t>
            </w:r>
          </w:p>
        </w:tc>
        <w:tc>
          <w:tcPr>
            <w:tcW w:w="3777" w:type="pct"/>
            <w:vAlign w:val="center"/>
          </w:tcPr>
          <w:p w14:paraId="5CACC576" w14:textId="78A952BD" w:rsidR="00315ABB" w:rsidRDefault="00934AAF">
            <w:pPr>
              <w:rPr>
                <w:rFonts w:cs="Arial"/>
              </w:rPr>
            </w:pPr>
            <w:r>
              <w:rPr>
                <w:rStyle w:val="PlaceholderText"/>
              </w:rPr>
              <w:t>September 22</w:t>
            </w:r>
          </w:p>
        </w:tc>
      </w:tr>
      <w:tr w:rsidR="00315ABB" w14:paraId="3098C382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4B477240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Approved By:</w:t>
            </w:r>
          </w:p>
        </w:tc>
        <w:tc>
          <w:tcPr>
            <w:tcW w:w="3777" w:type="pct"/>
            <w:vAlign w:val="center"/>
          </w:tcPr>
          <w:p w14:paraId="0EF6E415" w14:textId="0952E2A2" w:rsidR="00315ABB" w:rsidRDefault="0035255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ChMC</w:t>
            </w:r>
            <w:proofErr w:type="spellEnd"/>
          </w:p>
        </w:tc>
      </w:tr>
      <w:tr w:rsidR="00315ABB" w14:paraId="5BC861C1" w14:textId="77777777">
        <w:trPr>
          <w:trHeight w:val="403"/>
        </w:trPr>
        <w:tc>
          <w:tcPr>
            <w:tcW w:w="1223" w:type="pct"/>
            <w:shd w:val="clear" w:color="auto" w:fill="B3EDFB"/>
            <w:vAlign w:val="center"/>
          </w:tcPr>
          <w:p w14:paraId="6F912FCF" w14:textId="77777777" w:rsidR="00315ABB" w:rsidRDefault="007043B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 of Approval:</w:t>
            </w:r>
          </w:p>
        </w:tc>
        <w:tc>
          <w:tcPr>
            <w:tcW w:w="3777" w:type="pct"/>
            <w:vAlign w:val="center"/>
          </w:tcPr>
          <w:p w14:paraId="2FE41362" w14:textId="35D7383E" w:rsidR="00315ABB" w:rsidRDefault="0035255A">
            <w:pPr>
              <w:rPr>
                <w:rFonts w:cs="Arial"/>
              </w:rPr>
            </w:pPr>
            <w:r>
              <w:rPr>
                <w:rFonts w:cs="Arial"/>
              </w:rPr>
              <w:t>13/07/2022</w:t>
            </w:r>
          </w:p>
        </w:tc>
      </w:tr>
    </w:tbl>
    <w:p w14:paraId="315B0A12" w14:textId="77777777" w:rsidR="00315ABB" w:rsidRDefault="00315ABB"/>
    <w:p w14:paraId="0AAE6777" w14:textId="77777777" w:rsidR="00315ABB" w:rsidRDefault="00315ABB"/>
    <w:sectPr w:rsidR="00315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BE15" w14:textId="77777777" w:rsidR="00000000" w:rsidRDefault="007043BB">
      <w:pPr>
        <w:spacing w:after="0" w:line="240" w:lineRule="auto"/>
      </w:pPr>
      <w:r>
        <w:separator/>
      </w:r>
    </w:p>
  </w:endnote>
  <w:endnote w:type="continuationSeparator" w:id="0">
    <w:p w14:paraId="02ABB737" w14:textId="77777777" w:rsidR="00000000" w:rsidRDefault="0070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41E" w14:textId="77777777" w:rsidR="00315ABB" w:rsidRDefault="00315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D30E" w14:textId="77777777" w:rsidR="00315ABB" w:rsidRDefault="007043BB">
    <w:pPr>
      <w:pStyle w:val="Footer"/>
    </w:pPr>
    <w:r>
      <w:t>v1.0</w:t>
    </w:r>
  </w:p>
  <w:p w14:paraId="2EBF8013" w14:textId="77777777" w:rsidR="00315ABB" w:rsidRDefault="00315ABB">
    <w:pPr>
      <w:pStyle w:val="Footer"/>
    </w:pPr>
  </w:p>
  <w:p w14:paraId="03A13764" w14:textId="77777777" w:rsidR="00315ABB" w:rsidRDefault="007043BB">
    <w:pPr>
      <w:pStyle w:val="Foo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7943EE66" wp14:editId="3E1DC986">
              <wp:simplePos x="0" y="0"/>
              <wp:positionH relativeFrom="page">
                <wp:posOffset>-409575</wp:posOffset>
              </wp:positionH>
              <wp:positionV relativeFrom="paragraph">
                <wp:posOffset>376554</wp:posOffset>
              </wp:positionV>
              <wp:extent cx="7991475" cy="238125"/>
              <wp:effectExtent l="0" t="0" r="9525" b="9525"/>
              <wp:wrapNone/>
              <wp:docPr id="4" name="drawingObject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1475" cy="23812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  <w:r>
      <w:t>*</w:t>
    </w:r>
    <w:r>
      <w:rPr>
        <w:sz w:val="20"/>
        <w:szCs w:val="20"/>
      </w:rPr>
      <w:t>Assumed impacted parties of the proposed change, all parties are encouraged to review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56D8" w14:textId="77777777" w:rsidR="00315ABB" w:rsidRDefault="0031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E818" w14:textId="77777777" w:rsidR="00000000" w:rsidRDefault="007043BB">
      <w:pPr>
        <w:spacing w:after="0" w:line="240" w:lineRule="auto"/>
      </w:pPr>
      <w:r>
        <w:separator/>
      </w:r>
    </w:p>
  </w:footnote>
  <w:footnote w:type="continuationSeparator" w:id="0">
    <w:p w14:paraId="4BBDA61F" w14:textId="77777777" w:rsidR="00000000" w:rsidRDefault="0070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B42E" w14:textId="77777777" w:rsidR="00315ABB" w:rsidRDefault="00315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8B23" w14:textId="77777777" w:rsidR="00315ABB" w:rsidRDefault="007043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8" behindDoc="0" locked="0" layoutInCell="1" allowOverlap="1" wp14:anchorId="66367AA1" wp14:editId="530B541E">
              <wp:simplePos x="0" y="0"/>
              <wp:positionH relativeFrom="page">
                <wp:posOffset>-383540</wp:posOffset>
              </wp:positionH>
              <wp:positionV relativeFrom="paragraph">
                <wp:posOffset>-452120</wp:posOffset>
              </wp:positionV>
              <wp:extent cx="8001000" cy="304800"/>
              <wp:effectExtent l="0" t="0" r="0" b="0"/>
              <wp:wrapNone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304800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vertOverflow="overflow" horzOverflow="overflow" vert="horz" lIns="91440" tIns="45720" rIns="91440" bIns="45720" anchor="ctr"/>
                  </wps:wsp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74A6F6BC" wp14:editId="44548375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2066926" cy="325750"/>
              <wp:effectExtent l="0" t="0" r="0" b="0"/>
              <wp:wrapNone/>
              <wp:docPr id="2" name="drawingObject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  <w:p w14:paraId="3CBDBC0B" w14:textId="77777777" w:rsidR="00315ABB" w:rsidRDefault="00315ABB">
    <w:pPr>
      <w:pStyle w:val="Header"/>
    </w:pPr>
  </w:p>
  <w:p w14:paraId="55E3D546" w14:textId="77777777" w:rsidR="00315ABB" w:rsidRDefault="00315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4F46" w14:textId="77777777" w:rsidR="00315ABB" w:rsidRDefault="00315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BB"/>
    <w:rsid w:val="000F0B1D"/>
    <w:rsid w:val="00315ABB"/>
    <w:rsid w:val="0035255A"/>
    <w:rsid w:val="007043BB"/>
    <w:rsid w:val="009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1CB8"/>
  <w15:docId w15:val="{0B64380B-1044-48AF-8C56-179B3799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b/>
      <w:bCs/>
      <w:color w:val="3E5AA8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6440A3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0D1F5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3E5AA8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2D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qFormat/>
    <w:rPr>
      <w:rFonts w:ascii="Arial" w:hAnsi="Arial"/>
      <w:b/>
      <w:bCs/>
      <w:color w:val="3E5AA8"/>
      <w:sz w:val="28"/>
      <w:szCs w:val="28"/>
    </w:rPr>
  </w:style>
  <w:style w:type="character" w:customStyle="1" w:styleId="Heading2Char">
    <w:name w:val="Heading 2 Char"/>
    <w:basedOn w:val="DefaultParagraphFont"/>
    <w:qFormat/>
    <w:rPr>
      <w:rFonts w:ascii="Arial" w:hAnsi="Arial"/>
      <w:b/>
      <w:bCs/>
      <w:color w:val="6440A3"/>
      <w:sz w:val="26"/>
      <w:szCs w:val="26"/>
    </w:rPr>
  </w:style>
  <w:style w:type="paragraph" w:styleId="Title">
    <w:name w:val="Title"/>
    <w:basedOn w:val="Normal"/>
    <w:uiPriority w:val="10"/>
    <w:qFormat/>
    <w:pPr>
      <w:pBdr>
        <w:bottom w:val="single" w:sz="8" w:space="4" w:color="3E5AA8"/>
      </w:pBdr>
      <w:spacing w:after="300" w:line="240" w:lineRule="auto"/>
      <w:contextualSpacing/>
    </w:pPr>
    <w:rPr>
      <w:b/>
      <w:bCs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qFormat/>
    <w:rPr>
      <w:rFonts w:ascii="Arial" w:hAnsi="Arial"/>
      <w:b/>
      <w:bCs/>
      <w:color w:val="1D3E61"/>
      <w:spacing w:val="5"/>
      <w:kern w:val="28"/>
      <w:sz w:val="52"/>
      <w:szCs w:val="52"/>
    </w:rPr>
  </w:style>
  <w:style w:type="paragraph" w:styleId="Subtitle">
    <w:name w:val="Subtitle"/>
    <w:basedOn w:val="Normal"/>
    <w:uiPriority w:val="11"/>
    <w:qFormat/>
    <w:rPr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basedOn w:val="DefaultParagraphFont"/>
    <w:qFormat/>
    <w:rPr>
      <w:rFonts w:ascii="Arial" w:hAnsi="Arial"/>
      <w:i/>
      <w:iCs/>
      <w:color w:val="56CF9E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rFonts w:ascii="Arial" w:hAnsi="Arial"/>
      <w:i/>
      <w:iCs/>
      <w:color w:val="80808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qFormat/>
    <w:rPr>
      <w:rFonts w:ascii="Arial" w:hAnsi="Arial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qFormat/>
    <w:rPr>
      <w:rFonts w:ascii="Arial" w:hAnsi="Arial"/>
    </w:rPr>
  </w:style>
  <w:style w:type="character" w:customStyle="1" w:styleId="Heading3Char">
    <w:name w:val="Heading 3 Char"/>
    <w:basedOn w:val="DefaultParagraphFont"/>
    <w:qFormat/>
    <w:rPr>
      <w:rFonts w:ascii="Arial" w:hAnsi="Arial"/>
      <w:b/>
      <w:bCs/>
      <w:color w:val="40D1F5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6440A3"/>
      <w:u w:val="single"/>
    </w:rPr>
  </w:style>
  <w:style w:type="character" w:customStyle="1" w:styleId="Heading4Char">
    <w:name w:val="Heading 4 Char"/>
    <w:basedOn w:val="DefaultParagraphFont"/>
    <w:qFormat/>
    <w:rPr>
      <w:rFonts w:ascii="Arial" w:hAnsi="Arial"/>
      <w:b/>
      <w:bCs/>
      <w:i/>
      <w:iCs/>
      <w:color w:val="3E5AA8"/>
    </w:rPr>
  </w:style>
  <w:style w:type="character" w:customStyle="1" w:styleId="Heading5Char">
    <w:name w:val="Heading 5 Char"/>
    <w:basedOn w:val="DefaultParagraphFont"/>
    <w:qFormat/>
    <w:rPr>
      <w:rFonts w:ascii="Arial" w:hAnsi="Arial"/>
      <w:color w:val="1F2D54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3E5AA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qFormat/>
    <w:rPr>
      <w:i/>
      <w:iCs/>
      <w:color w:val="000000"/>
    </w:rPr>
  </w:style>
  <w:style w:type="character" w:customStyle="1" w:styleId="QuoteChar">
    <w:name w:val="Quote Char"/>
    <w:basedOn w:val="DefaultParagraphFont"/>
    <w:qFormat/>
    <w:rPr>
      <w:rFonts w:ascii="Arial" w:hAnsi="Arial"/>
      <w:i/>
      <w:iCs/>
      <w:color w:val="000000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qFormat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character" w:customStyle="1" w:styleId="CommentSubjectChar">
    <w:name w:val="Comment Subject Char"/>
    <w:basedOn w:val="CommentTextChar"/>
    <w:qFormat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table" w:customStyle="1" w:styleId="TableGrid3">
    <w:name w:val="Table Grid3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34AAF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4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umbraco.xoserve.com/media/43348/hlso-xrn5469-increasing-the-frequency-of-fsg-payments_v10_final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B2684FDFF43A2A459433B13A6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B264-ADFC-4150-B0BC-53C3C0A01EC8}"/>
      </w:docPartPr>
      <w:docPartBody>
        <w:p w:rsidR="00000000" w:rsidRDefault="009A7320" w:rsidP="009A7320">
          <w:pPr>
            <w:pStyle w:val="D2CB2684FDFF43A2A459433B13A65FD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0"/>
    <w:rsid w:val="009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320"/>
  </w:style>
  <w:style w:type="paragraph" w:customStyle="1" w:styleId="D2CB2684FDFF43A2A459433B13A65FD7">
    <w:name w:val="D2CB2684FDFF43A2A459433B13A65FD7"/>
    <w:rsid w:val="009A7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9" ma:contentTypeDescription="Create a new document." ma:contentTypeScope="" ma:versionID="4a465c647fca91cbeb9e7e04b51edf67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ba6b772822e6608a1419af8bdffb8e12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er_x0020_Contracts_x0020_Lead xmlns="5844fa40-a696-4ac9-bd38-c0330d295109" xsi:nil="true"/>
    <_x006a_hd3 xmlns="5844fa40-a696-4ac9-bd38-c0330d295109" xsi:nil="true"/>
    <CAM xmlns="5844fa40-a696-4ac9-bd38-c0330d295109" xsi:nil="true"/>
    <TaxCatchAll xmlns="c78a4dae-5fc0-4ed3-ad80-da51122ab114" xsi:nil="true"/>
    <lcf76f155ced4ddcb4097134ff3c332f xmlns="5844fa40-a696-4ac9-bd38-c0330d295109">
      <Terms xmlns="http://schemas.microsoft.com/office/infopath/2007/PartnerControls"/>
    </lcf76f155ced4ddcb4097134ff3c332f>
    <Date_x0020_of_x0020_Meetings xmlns="5844fa40-a696-4ac9-bd38-c0330d295109" xsi:nil="true"/>
  </documentManagement>
</p:properties>
</file>

<file path=customXml/itemProps1.xml><?xml version="1.0" encoding="utf-8"?>
<ds:datastoreItem xmlns:ds="http://schemas.openxmlformats.org/officeDocument/2006/customXml" ds:itemID="{8C4918BA-5501-4027-8454-27E9DF634162}"/>
</file>

<file path=customXml/itemProps2.xml><?xml version="1.0" encoding="utf-8"?>
<ds:datastoreItem xmlns:ds="http://schemas.openxmlformats.org/officeDocument/2006/customXml" ds:itemID="{93C5F623-F1CC-4953-AA43-146E9141B51F}"/>
</file>

<file path=customXml/itemProps3.xml><?xml version="1.0" encoding="utf-8"?>
<ds:datastoreItem xmlns:ds="http://schemas.openxmlformats.org/officeDocument/2006/customXml" ds:itemID="{60013351-F01C-437B-BE09-2982CF00E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Molly Haley1</cp:lastModifiedBy>
  <cp:revision>2</cp:revision>
  <dcterms:created xsi:type="dcterms:W3CDTF">2022-07-19T12:37:00Z</dcterms:created>
  <dcterms:modified xsi:type="dcterms:W3CDTF">2022-07-19T12:37:00Z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